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3741F403" w:rsidR="00FC6469" w:rsidRPr="00FC6469" w:rsidRDefault="00DE35CB" w:rsidP="00FC6469">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eastAsia="SimSun" w:hAnsi="Times New Roman"/>
          <w:b/>
          <w:sz w:val="24"/>
          <w:lang w:val="en-US" w:eastAsia="zh-CN"/>
        </w:rPr>
        <w:t>3GPP TSG RAN WG1 Meeting #87</w:t>
      </w:r>
      <w:r w:rsidR="00FC6469" w:rsidRPr="00FC6469">
        <w:rPr>
          <w:rFonts w:ascii="Times New Roman" w:eastAsia="SimSun" w:hAnsi="Times New Roman"/>
          <w:b/>
          <w:sz w:val="24"/>
          <w:lang w:val="en-US" w:eastAsia="zh-CN"/>
        </w:rPr>
        <w:tab/>
      </w:r>
      <w:r w:rsidR="00FC6469" w:rsidRP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Pr>
          <w:rFonts w:ascii="Times New Roman" w:eastAsia="SimSun" w:hAnsi="Times New Roman"/>
          <w:b/>
          <w:sz w:val="24"/>
          <w:lang w:val="en-US" w:eastAsia="zh-CN"/>
        </w:rPr>
        <w:tab/>
      </w:r>
      <w:r w:rsidR="00FC6469" w:rsidRPr="008E759F">
        <w:rPr>
          <w:b/>
          <w:sz w:val="24"/>
          <w:lang w:val="en-US"/>
        </w:rPr>
        <w:t>R1-</w:t>
      </w:r>
      <w:r w:rsidR="00CE5541" w:rsidRPr="00AA2812">
        <w:rPr>
          <w:b/>
          <w:sz w:val="24"/>
          <w:szCs w:val="24"/>
          <w:lang w:val="en-US"/>
        </w:rPr>
        <w:t>16</w:t>
      </w:r>
      <w:r w:rsidR="00AA2812" w:rsidRPr="006F49E6">
        <w:rPr>
          <w:rFonts w:cs="Arial"/>
          <w:b/>
          <w:color w:val="000000"/>
          <w:sz w:val="24"/>
          <w:szCs w:val="24"/>
        </w:rPr>
        <w:t>12630</w:t>
      </w:r>
    </w:p>
    <w:p w14:paraId="334C4612" w14:textId="5636BD52" w:rsidR="00FC6469" w:rsidRDefault="00DE35CB" w:rsidP="00FC6469">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2B99A8BD"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6055BD">
        <w:rPr>
          <w:rFonts w:ascii="Times New Roman" w:hAnsi="Times New Roman"/>
          <w:b/>
          <w:bCs/>
          <w:sz w:val="24"/>
          <w:lang w:val="en-US"/>
        </w:rPr>
        <w:t>7</w:t>
      </w:r>
      <w:r w:rsidR="00E246F8" w:rsidRPr="00611209">
        <w:rPr>
          <w:rFonts w:ascii="Times New Roman" w:hAnsi="Times New Roman"/>
          <w:b/>
          <w:bCs/>
          <w:sz w:val="24"/>
          <w:lang w:val="en-US"/>
        </w:rPr>
        <w:t>.</w:t>
      </w:r>
      <w:r w:rsidR="005D69BE">
        <w:rPr>
          <w:rFonts w:ascii="Times New Roman" w:hAnsi="Times New Roman"/>
          <w:b/>
          <w:bCs/>
          <w:sz w:val="24"/>
          <w:lang w:val="en-US"/>
        </w:rPr>
        <w:t>1.</w:t>
      </w:r>
      <w:r w:rsidR="00DE35CB">
        <w:rPr>
          <w:rFonts w:ascii="Times New Roman" w:hAnsi="Times New Roman"/>
          <w:b/>
          <w:bCs/>
          <w:sz w:val="24"/>
          <w:lang w:val="en-US"/>
        </w:rPr>
        <w:t>2.</w:t>
      </w:r>
      <w:r w:rsidR="00DD66C5">
        <w:rPr>
          <w:rFonts w:ascii="Times New Roman" w:hAnsi="Times New Roman"/>
          <w:b/>
          <w:bCs/>
          <w:sz w:val="24"/>
          <w:lang w:val="en-US"/>
        </w:rPr>
        <w:t>2</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27DD8A4A"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57074F" w:rsidRPr="0057074F">
        <w:rPr>
          <w:b/>
          <w:bCs/>
          <w:sz w:val="24"/>
          <w:lang w:val="en-US"/>
        </w:rPr>
        <w:t>Performance Evaluation for Beam Centric Design for Broadcast Channel</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086E8EFC" w14:textId="790F0DBC" w:rsidR="00DD66C5" w:rsidRPr="00A114B8" w:rsidRDefault="00DD66C5" w:rsidP="00DD66C5">
      <w:pPr>
        <w:rPr>
          <w:i/>
          <w:lang w:val="en-US" w:eastAsia="ja-JP"/>
        </w:rPr>
      </w:pPr>
      <w:r w:rsidRPr="00611209">
        <w:rPr>
          <w:szCs w:val="22"/>
        </w:rPr>
        <w:t>I</w:t>
      </w:r>
      <w:r>
        <w:rPr>
          <w:szCs w:val="22"/>
        </w:rPr>
        <w:t>t was agreed i</w:t>
      </w:r>
      <w:r w:rsidRPr="00611209">
        <w:rPr>
          <w:szCs w:val="22"/>
        </w:rPr>
        <w:t>n</w:t>
      </w:r>
      <w:r>
        <w:rPr>
          <w:szCs w:val="22"/>
        </w:rPr>
        <w:t xml:space="preserve"> the</w:t>
      </w:r>
      <w:r w:rsidRPr="00611209">
        <w:rPr>
          <w:szCs w:val="22"/>
        </w:rPr>
        <w:t xml:space="preserve"> RAN</w:t>
      </w:r>
      <w:r>
        <w:rPr>
          <w:szCs w:val="22"/>
        </w:rPr>
        <w:t>1</w:t>
      </w:r>
      <w:r w:rsidRPr="00611209">
        <w:rPr>
          <w:szCs w:val="22"/>
        </w:rPr>
        <w:t xml:space="preserve"> </w:t>
      </w:r>
      <w:r>
        <w:rPr>
          <w:szCs w:val="22"/>
        </w:rPr>
        <w:t xml:space="preserve">meeting </w:t>
      </w:r>
      <w:r w:rsidRPr="00611209">
        <w:rPr>
          <w:szCs w:val="22"/>
        </w:rPr>
        <w:t>#</w:t>
      </w:r>
      <w:r>
        <w:rPr>
          <w:szCs w:val="22"/>
        </w:rPr>
        <w:t xml:space="preserve">85 </w:t>
      </w:r>
      <w:r w:rsidRPr="00637119">
        <w:fldChar w:fldCharType="begin"/>
      </w:r>
      <w:r w:rsidRPr="00637119">
        <w:instrText xml:space="preserve"> REF _Ref458702645 \r \h </w:instrText>
      </w:r>
      <w:r>
        <w:instrText xml:space="preserve"> \* MERGEFORMAT </w:instrText>
      </w:r>
      <w:r w:rsidRPr="00637119">
        <w:fldChar w:fldCharType="separate"/>
      </w:r>
      <w:r w:rsidR="007F3383">
        <w:t>[1]</w:t>
      </w:r>
      <w:r w:rsidRPr="00637119">
        <w:fldChar w:fldCharType="end"/>
      </w:r>
      <w:r>
        <w:t xml:space="preserve"> </w:t>
      </w:r>
      <w:r>
        <w:rPr>
          <w:szCs w:val="22"/>
        </w:rPr>
        <w:t xml:space="preserve">that both multi-beam based and single-beam based approaches should be studied for </w:t>
      </w:r>
      <w:r w:rsidR="0057074F">
        <w:rPr>
          <w:szCs w:val="22"/>
        </w:rPr>
        <w:t xml:space="preserve">the </w:t>
      </w:r>
      <w:r>
        <w:rPr>
          <w:szCs w:val="22"/>
        </w:rPr>
        <w:t xml:space="preserve">broadcast channel and system information delivery. In addition, it was agreed in the RAN1 meeting #86 </w:t>
      </w:r>
      <w:r>
        <w:rPr>
          <w:szCs w:val="22"/>
        </w:rPr>
        <w:fldChar w:fldCharType="begin"/>
      </w:r>
      <w:r>
        <w:rPr>
          <w:szCs w:val="22"/>
        </w:rPr>
        <w:instrText xml:space="preserve"> REF _Ref460871264 \n \h </w:instrText>
      </w:r>
      <w:r>
        <w:rPr>
          <w:szCs w:val="22"/>
        </w:rPr>
      </w:r>
      <w:r>
        <w:rPr>
          <w:szCs w:val="22"/>
        </w:rPr>
        <w:fldChar w:fldCharType="separate"/>
      </w:r>
      <w:r w:rsidR="007F3383">
        <w:rPr>
          <w:szCs w:val="22"/>
        </w:rPr>
        <w:t>[2]</w:t>
      </w:r>
      <w:r>
        <w:rPr>
          <w:szCs w:val="22"/>
        </w:rPr>
        <w:fldChar w:fldCharType="end"/>
      </w:r>
      <w:r>
        <w:rPr>
          <w:szCs w:val="22"/>
        </w:rPr>
        <w:t xml:space="preserve"> that the initial access should consider the options of i). </w:t>
      </w:r>
      <w:proofErr w:type="gramStart"/>
      <w:r>
        <w:rPr>
          <w:szCs w:val="22"/>
        </w:rPr>
        <w:t>dynamic</w:t>
      </w:r>
      <w:proofErr w:type="gramEnd"/>
      <w:r>
        <w:rPr>
          <w:szCs w:val="22"/>
        </w:rPr>
        <w:t xml:space="preserve"> signalling; ii). </w:t>
      </w:r>
      <w:proofErr w:type="gramStart"/>
      <w:r>
        <w:rPr>
          <w:szCs w:val="22"/>
        </w:rPr>
        <w:t>semi-static</w:t>
      </w:r>
      <w:proofErr w:type="gramEnd"/>
      <w:r>
        <w:rPr>
          <w:szCs w:val="22"/>
        </w:rPr>
        <w:t xml:space="preserve"> signalling; iii). </w:t>
      </w:r>
      <w:proofErr w:type="gramStart"/>
      <w:r>
        <w:rPr>
          <w:szCs w:val="22"/>
        </w:rPr>
        <w:t>without</w:t>
      </w:r>
      <w:proofErr w:type="gramEnd"/>
      <w:r>
        <w:rPr>
          <w:szCs w:val="22"/>
        </w:rPr>
        <w:t xml:space="preserve"> signalling.</w:t>
      </w:r>
      <w:r w:rsidRPr="00DD66C5">
        <w:rPr>
          <w:rFonts w:eastAsia="MS Mincho"/>
          <w:color w:val="0070C0"/>
          <w:lang w:eastAsia="ja-JP"/>
        </w:rPr>
        <w:t xml:space="preserve"> </w:t>
      </w:r>
      <w:r>
        <w:rPr>
          <w:szCs w:val="22"/>
        </w:rPr>
        <w:t xml:space="preserve">Furthermore, it was agreed in the RAN1 meeting #86bis </w:t>
      </w:r>
      <w:r>
        <w:rPr>
          <w:szCs w:val="22"/>
        </w:rPr>
        <w:fldChar w:fldCharType="begin"/>
      </w:r>
      <w:r>
        <w:rPr>
          <w:szCs w:val="22"/>
        </w:rPr>
        <w:instrText xml:space="preserve"> REF _Ref460871264 \n \h </w:instrText>
      </w:r>
      <w:r>
        <w:rPr>
          <w:szCs w:val="22"/>
        </w:rPr>
      </w:r>
      <w:r>
        <w:rPr>
          <w:szCs w:val="22"/>
        </w:rPr>
        <w:fldChar w:fldCharType="separate"/>
      </w:r>
      <w:r w:rsidR="007F3383">
        <w:rPr>
          <w:szCs w:val="22"/>
        </w:rPr>
        <w:t>[2]</w:t>
      </w:r>
      <w:r>
        <w:rPr>
          <w:szCs w:val="22"/>
        </w:rPr>
        <w:fldChar w:fldCharType="end"/>
      </w:r>
      <w:r>
        <w:rPr>
          <w:szCs w:val="22"/>
        </w:rPr>
        <w:t xml:space="preserve"> </w:t>
      </w:r>
      <w:r w:rsidRPr="00A114B8">
        <w:rPr>
          <w:szCs w:val="22"/>
        </w:rPr>
        <w:t xml:space="preserve">that </w:t>
      </w:r>
      <w:r w:rsidRPr="00A114B8">
        <w:rPr>
          <w:rFonts w:eastAsia="MS Mincho"/>
          <w:lang w:eastAsia="ja-JP"/>
        </w:rPr>
        <w:t>NR should define at least one broadcast channel: NR-PBCH.</w:t>
      </w:r>
      <w:r w:rsidRPr="00A114B8">
        <w:rPr>
          <w:szCs w:val="22"/>
        </w:rPr>
        <w:t xml:space="preserve"> </w:t>
      </w:r>
    </w:p>
    <w:p w14:paraId="238B975B" w14:textId="20F11E94" w:rsidR="00DD66C5" w:rsidRPr="00CA6983" w:rsidRDefault="00DD66C5" w:rsidP="00DD66C5">
      <w:pPr>
        <w:rPr>
          <w:szCs w:val="22"/>
        </w:rPr>
      </w:pPr>
      <w:r w:rsidRPr="00CA6983">
        <w:rPr>
          <w:szCs w:val="22"/>
        </w:rPr>
        <w:t xml:space="preserve">In this contribution, </w:t>
      </w:r>
      <w:r w:rsidR="009A2AAF">
        <w:rPr>
          <w:szCs w:val="22"/>
        </w:rPr>
        <w:t>w</w:t>
      </w:r>
      <w:r w:rsidR="009A2AAF" w:rsidRPr="00CA6983">
        <w:rPr>
          <w:szCs w:val="22"/>
        </w:rPr>
        <w:t xml:space="preserve">e discuss some design principles </w:t>
      </w:r>
      <w:r w:rsidR="009A2AAF">
        <w:rPr>
          <w:szCs w:val="22"/>
        </w:rPr>
        <w:t xml:space="preserve">and evaluate the performance </w:t>
      </w:r>
      <w:r w:rsidR="009A2AAF" w:rsidRPr="00CA6983">
        <w:rPr>
          <w:szCs w:val="22"/>
        </w:rPr>
        <w:t xml:space="preserve">for </w:t>
      </w:r>
      <w:r w:rsidR="009A2AAF">
        <w:rPr>
          <w:szCs w:val="22"/>
        </w:rPr>
        <w:t xml:space="preserve">multi-beam based </w:t>
      </w:r>
      <w:r w:rsidR="009A2AAF" w:rsidRPr="00CA6983">
        <w:rPr>
          <w:szCs w:val="22"/>
        </w:rPr>
        <w:t xml:space="preserve">PBCH and system information transmission </w:t>
      </w:r>
      <w:r w:rsidR="009A2AAF">
        <w:rPr>
          <w:szCs w:val="22"/>
        </w:rPr>
        <w:t>for initial access in</w:t>
      </w:r>
      <w:r w:rsidR="009A2AAF" w:rsidRPr="00CA6983">
        <w:rPr>
          <w:szCs w:val="22"/>
        </w:rPr>
        <w:t xml:space="preserve"> NR</w:t>
      </w:r>
      <w:r w:rsidR="009A2AAF">
        <w:rPr>
          <w:szCs w:val="22"/>
        </w:rPr>
        <w:t>.</w:t>
      </w:r>
    </w:p>
    <w:p w14:paraId="24F5D366" w14:textId="77777777" w:rsidR="00FE326E" w:rsidRDefault="00FE326E" w:rsidP="00FE326E">
      <w:pPr>
        <w:rPr>
          <w:lang w:eastAsia="sv-SE"/>
        </w:rPr>
      </w:pPr>
    </w:p>
    <w:p w14:paraId="67B5F398" w14:textId="06BE5976" w:rsidR="00292847" w:rsidRDefault="009E41D1" w:rsidP="00292847">
      <w:pPr>
        <w:pStyle w:val="Heading1"/>
        <w:pBdr>
          <w:top w:val="single" w:sz="12" w:space="5" w:color="auto"/>
        </w:pBdr>
        <w:spacing w:after="120"/>
        <w:rPr>
          <w:sz w:val="32"/>
          <w:szCs w:val="32"/>
        </w:rPr>
      </w:pPr>
      <w:bookmarkStart w:id="1" w:name="_Ref465895131"/>
      <w:r>
        <w:rPr>
          <w:sz w:val="32"/>
          <w:szCs w:val="32"/>
        </w:rPr>
        <w:lastRenderedPageBreak/>
        <w:t>PBCH and System Info</w:t>
      </w:r>
      <w:r w:rsidR="00A00E39">
        <w:rPr>
          <w:sz w:val="32"/>
          <w:szCs w:val="32"/>
        </w:rPr>
        <w:t>rmation</w:t>
      </w:r>
      <w:bookmarkEnd w:id="1"/>
      <w:r w:rsidR="00A00E39">
        <w:rPr>
          <w:sz w:val="32"/>
          <w:szCs w:val="32"/>
        </w:rPr>
        <w:t xml:space="preserve"> </w:t>
      </w:r>
    </w:p>
    <w:p w14:paraId="19B9A43B" w14:textId="77777777" w:rsidR="00423383" w:rsidRDefault="00423383" w:rsidP="00423383">
      <w:pPr>
        <w:rPr>
          <w:i/>
          <w:szCs w:val="22"/>
          <w:lang w:eastAsia="sv-SE"/>
        </w:rPr>
      </w:pPr>
    </w:p>
    <w:p w14:paraId="0DFC3E6B" w14:textId="3AD38C1F" w:rsidR="00270F77" w:rsidRPr="00A114B8" w:rsidRDefault="00270F77" w:rsidP="00270F77">
      <w:pPr>
        <w:pStyle w:val="Heading2"/>
        <w:rPr>
          <w:sz w:val="28"/>
          <w:szCs w:val="28"/>
        </w:rPr>
      </w:pPr>
      <w:r w:rsidRPr="00A114B8">
        <w:rPr>
          <w:sz w:val="28"/>
          <w:szCs w:val="28"/>
        </w:rPr>
        <w:t xml:space="preserve">Minimizing Beam Sweep </w:t>
      </w:r>
      <w:r w:rsidR="00690086" w:rsidRPr="00A114B8">
        <w:rPr>
          <w:sz w:val="28"/>
          <w:szCs w:val="28"/>
        </w:rPr>
        <w:t xml:space="preserve">Power, </w:t>
      </w:r>
      <w:r w:rsidRPr="00A114B8">
        <w:rPr>
          <w:sz w:val="28"/>
          <w:szCs w:val="28"/>
        </w:rPr>
        <w:t>Overhead</w:t>
      </w:r>
      <w:r w:rsidR="00A00E39" w:rsidRPr="00A114B8">
        <w:rPr>
          <w:sz w:val="28"/>
          <w:szCs w:val="28"/>
        </w:rPr>
        <w:t>, Interference</w:t>
      </w:r>
      <w:r w:rsidRPr="00A114B8">
        <w:rPr>
          <w:sz w:val="28"/>
          <w:szCs w:val="28"/>
        </w:rPr>
        <w:t xml:space="preserve"> </w:t>
      </w:r>
      <w:r w:rsidR="00A00E39" w:rsidRPr="00A114B8">
        <w:rPr>
          <w:sz w:val="28"/>
          <w:szCs w:val="28"/>
        </w:rPr>
        <w:t>and Latency</w:t>
      </w:r>
    </w:p>
    <w:p w14:paraId="4D5E5E47" w14:textId="0753B67C" w:rsidR="00A00E39" w:rsidRPr="00FD012B" w:rsidRDefault="0057074F" w:rsidP="00A00E39">
      <w:pPr>
        <w:rPr>
          <w:szCs w:val="22"/>
          <w:lang w:eastAsia="sv-SE"/>
        </w:rPr>
      </w:pPr>
      <w:r>
        <w:rPr>
          <w:szCs w:val="22"/>
          <w:lang w:eastAsia="sv-SE"/>
        </w:rPr>
        <w:t xml:space="preserve">The </w:t>
      </w:r>
      <w:r w:rsidR="00A00E39">
        <w:rPr>
          <w:szCs w:val="22"/>
          <w:lang w:eastAsia="sv-SE"/>
        </w:rPr>
        <w:t xml:space="preserve">NR PBCH transmission design </w:t>
      </w:r>
      <w:r>
        <w:rPr>
          <w:szCs w:val="22"/>
          <w:lang w:eastAsia="sv-SE"/>
        </w:rPr>
        <w:t xml:space="preserve">may use a beam sweep procedure to minimize overhead, interference, and latency. NR PBCH </w:t>
      </w:r>
      <w:r w:rsidR="00A00E39">
        <w:rPr>
          <w:szCs w:val="22"/>
          <w:lang w:eastAsia="sv-SE"/>
        </w:rPr>
        <w:t>should consider</w:t>
      </w:r>
      <w:r w:rsidR="00A00E39" w:rsidRPr="007B4959">
        <w:rPr>
          <w:szCs w:val="22"/>
          <w:lang w:eastAsia="sv-SE"/>
        </w:rPr>
        <w:t xml:space="preserve"> allowing</w:t>
      </w:r>
      <w:r>
        <w:rPr>
          <w:szCs w:val="22"/>
          <w:lang w:eastAsia="sv-SE"/>
        </w:rPr>
        <w:t xml:space="preserve"> an</w:t>
      </w:r>
      <w:r w:rsidR="00A00E39" w:rsidRPr="007B4959">
        <w:rPr>
          <w:szCs w:val="22"/>
          <w:lang w:eastAsia="sv-SE"/>
        </w:rPr>
        <w:t xml:space="preserve"> independent configuration of the PBCH beams participating in the beam sweep</w:t>
      </w:r>
      <w:r w:rsidR="00A00E39">
        <w:rPr>
          <w:szCs w:val="22"/>
          <w:lang w:eastAsia="sv-SE"/>
        </w:rPr>
        <w:t xml:space="preserve">. This will allow for minimizing the number of PBCH beams </w:t>
      </w:r>
      <w:r>
        <w:rPr>
          <w:szCs w:val="22"/>
          <w:lang w:eastAsia="sv-SE"/>
        </w:rPr>
        <w:t>that may participate in a beam sweep procedure</w:t>
      </w:r>
      <w:r w:rsidR="00A00E39">
        <w:rPr>
          <w:szCs w:val="22"/>
          <w:lang w:eastAsia="sv-SE"/>
        </w:rPr>
        <w:t xml:space="preserve">. </w:t>
      </w:r>
    </w:p>
    <w:p w14:paraId="3853AE46" w14:textId="318C56A4" w:rsidR="00A00E39" w:rsidRDefault="00A00E39" w:rsidP="00A00E39">
      <w:pPr>
        <w:rPr>
          <w:lang w:val="en-US"/>
        </w:rPr>
      </w:pPr>
      <w:r>
        <w:rPr>
          <w:lang w:val="en-US"/>
        </w:rPr>
        <w:t xml:space="preserve">In a scheme shown in </w:t>
      </w:r>
      <w:r>
        <w:rPr>
          <w:lang w:val="en-US"/>
        </w:rPr>
        <w:fldChar w:fldCharType="begin"/>
      </w:r>
      <w:r>
        <w:rPr>
          <w:lang w:val="en-US"/>
        </w:rPr>
        <w:instrText xml:space="preserve"> REF _Ref462518778 \h </w:instrText>
      </w:r>
      <w:r>
        <w:rPr>
          <w:lang w:val="en-US"/>
        </w:rPr>
      </w:r>
      <w:r>
        <w:rPr>
          <w:lang w:val="en-US"/>
        </w:rPr>
        <w:fldChar w:fldCharType="separate"/>
      </w:r>
      <w:r w:rsidR="007F3383">
        <w:t xml:space="preserve">Figure </w:t>
      </w:r>
      <w:r w:rsidR="007F3383">
        <w:rPr>
          <w:noProof/>
        </w:rPr>
        <w:t>1</w:t>
      </w:r>
      <w:r>
        <w:rPr>
          <w:lang w:val="en-US"/>
        </w:rPr>
        <w:fldChar w:fldCharType="end"/>
      </w:r>
      <w:r>
        <w:rPr>
          <w:lang w:val="en-US"/>
        </w:rPr>
        <w:t>, a selective beam sweep</w:t>
      </w:r>
      <w:r w:rsidR="0057074F">
        <w:rPr>
          <w:lang w:val="en-US"/>
        </w:rPr>
        <w:t>,</w:t>
      </w:r>
      <w:r>
        <w:rPr>
          <w:lang w:val="en-US"/>
        </w:rPr>
        <w:t xml:space="preserve"> using a full beam sweep burst for the PBCH is depicted. PBCH transmission beams are not cycled through the entire beam sweep. Instead, the PBCH is only transmitted on a subset of the cycled beams (the PBCH transmission beams). For example, as shown in </w:t>
      </w:r>
      <w:r>
        <w:rPr>
          <w:lang w:val="en-US"/>
        </w:rPr>
        <w:fldChar w:fldCharType="begin"/>
      </w:r>
      <w:r>
        <w:rPr>
          <w:lang w:val="en-US"/>
        </w:rPr>
        <w:instrText xml:space="preserve"> REF _Ref462518778 \h </w:instrText>
      </w:r>
      <w:r>
        <w:rPr>
          <w:lang w:val="en-US"/>
        </w:rPr>
      </w:r>
      <w:r>
        <w:rPr>
          <w:lang w:val="en-US"/>
        </w:rPr>
        <w:fldChar w:fldCharType="separate"/>
      </w:r>
      <w:r w:rsidR="007F3383">
        <w:t xml:space="preserve">Figure </w:t>
      </w:r>
      <w:r w:rsidR="007F3383">
        <w:rPr>
          <w:noProof/>
        </w:rPr>
        <w:t>1</w:t>
      </w:r>
      <w:r>
        <w:rPr>
          <w:lang w:val="en-US"/>
        </w:rPr>
        <w:fldChar w:fldCharType="end"/>
      </w:r>
      <w:r>
        <w:rPr>
          <w:lang w:val="en-US"/>
        </w:rPr>
        <w:t>, only beams 2, 5, and M-1 are swept through in this beam cycle (as shown in green color) and other beams are not swept through (as shown in grey color). Other beams can be swept through in subsequent beam cycles. In this case, the periodicity of the PBCH transmission beams may be different from the periodicity of the full beam sweep. However, this approach may result in higher latency compared to the full beam sweep approach described in the previous section. This latency may be reduced by the TRP transmitting multiple beams simultaneously. For example, beams 2 and 3, beams 5 and 6 and beams M-1 and M are swept through in a single beam cycle. In the case of multiple TRPs, different TRPs may coordinate and transmit multiple beams to ensure that they cover the entire service area in a manner that reduces the latency.</w:t>
      </w:r>
    </w:p>
    <w:p w14:paraId="7D517D28" w14:textId="77777777" w:rsidR="00A00E39" w:rsidRPr="00597ADE" w:rsidRDefault="00A00E39" w:rsidP="00A00E39">
      <w:pPr>
        <w:rPr>
          <w:lang w:val="en-US"/>
        </w:rPr>
      </w:pPr>
    </w:p>
    <w:p w14:paraId="3A3B5D8B" w14:textId="77777777" w:rsidR="00A00E39" w:rsidRDefault="00A00E39" w:rsidP="00A00E39">
      <w:r>
        <w:object w:dxaOrig="13140" w:dyaOrig="723" w14:anchorId="2E24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8.5pt" o:ole="">
            <v:imagedata r:id="rId7" o:title=""/>
          </v:shape>
          <o:OLEObject Type="Embed" ProgID="Visio.Drawing.15" ShapeID="_x0000_i1025" DrawAspect="Content" ObjectID="_1539800872" r:id="rId8"/>
        </w:object>
      </w:r>
    </w:p>
    <w:p w14:paraId="12807AA3" w14:textId="13CF1275" w:rsidR="00A00E39" w:rsidRDefault="00A00E39" w:rsidP="00A00E39">
      <w:pPr>
        <w:pStyle w:val="Caption"/>
        <w:rPr>
          <w:szCs w:val="24"/>
          <w:lang w:val="en-US"/>
        </w:rPr>
      </w:pPr>
      <w:bookmarkStart w:id="2" w:name="_Ref462518778"/>
      <w:bookmarkStart w:id="3" w:name="_Toc462541966"/>
      <w:r>
        <w:t xml:space="preserve">Figure </w:t>
      </w:r>
      <w:r>
        <w:fldChar w:fldCharType="begin"/>
      </w:r>
      <w:r>
        <w:instrText xml:space="preserve"> SEQ Figure \* ARABIC </w:instrText>
      </w:r>
      <w:r>
        <w:fldChar w:fldCharType="separate"/>
      </w:r>
      <w:r w:rsidR="007F3383">
        <w:rPr>
          <w:noProof/>
        </w:rPr>
        <w:t>1</w:t>
      </w:r>
      <w:r>
        <w:fldChar w:fldCharType="end"/>
      </w:r>
      <w:bookmarkEnd w:id="2"/>
      <w:r>
        <w:t>: Example</w:t>
      </w:r>
      <w:r>
        <w:rPr>
          <w:szCs w:val="24"/>
          <w:lang w:val="en-US"/>
        </w:rPr>
        <w:t xml:space="preserve"> of periodic beam hopping sweep pattern</w:t>
      </w:r>
      <w:bookmarkEnd w:id="3"/>
      <w:r>
        <w:rPr>
          <w:szCs w:val="24"/>
          <w:lang w:val="en-US"/>
        </w:rPr>
        <w:t xml:space="preserve"> </w:t>
      </w:r>
    </w:p>
    <w:p w14:paraId="6010F096" w14:textId="645193EF" w:rsidR="00A00E39" w:rsidRDefault="00A00E39" w:rsidP="00A00E39">
      <w:pPr>
        <w:rPr>
          <w:lang w:val="en-US"/>
        </w:rPr>
      </w:pPr>
      <w:r w:rsidRPr="000B7642">
        <w:rPr>
          <w:lang w:val="en-US"/>
        </w:rPr>
        <w:t>The configuration of the PBCH transmission beams (e.g. periodicity, beam selection</w:t>
      </w:r>
      <w:r w:rsidR="003B09C2">
        <w:rPr>
          <w:lang w:val="en-US"/>
        </w:rPr>
        <w:t>,</w:t>
      </w:r>
      <w:r w:rsidRPr="000B7642">
        <w:rPr>
          <w:lang w:val="en-US"/>
        </w:rPr>
        <w:t xml:space="preserve"> etc.) </w:t>
      </w:r>
      <w:r w:rsidR="0057074F">
        <w:rPr>
          <w:lang w:val="en-US"/>
        </w:rPr>
        <w:t>may</w:t>
      </w:r>
      <w:r w:rsidR="0057074F" w:rsidRPr="000B7642">
        <w:rPr>
          <w:lang w:val="en-US"/>
        </w:rPr>
        <w:t xml:space="preserve"> </w:t>
      </w:r>
      <w:r w:rsidRPr="000B7642">
        <w:rPr>
          <w:lang w:val="en-US"/>
        </w:rPr>
        <w:t>be set</w:t>
      </w:r>
      <w:r>
        <w:rPr>
          <w:lang w:val="en-US"/>
        </w:rPr>
        <w:t xml:space="preserve"> based on a predetermined or aperiodic </w:t>
      </w:r>
      <w:r w:rsidR="0057074F">
        <w:rPr>
          <w:lang w:val="en-US"/>
        </w:rPr>
        <w:t xml:space="preserve">beam sweep </w:t>
      </w:r>
      <w:r>
        <w:rPr>
          <w:lang w:val="en-US"/>
        </w:rPr>
        <w:t>pattern</w:t>
      </w:r>
      <w:r w:rsidRPr="000B7642">
        <w:rPr>
          <w:lang w:val="en-US"/>
        </w:rPr>
        <w:t>.</w:t>
      </w:r>
      <w:r>
        <w:rPr>
          <w:lang w:val="en-US"/>
        </w:rPr>
        <w:t xml:space="preserve"> A short</w:t>
      </w:r>
      <w:r>
        <w:rPr>
          <w:szCs w:val="22"/>
          <w:lang w:eastAsia="sv-SE"/>
        </w:rPr>
        <w:t xml:space="preserve"> PBCH transmission burst should be designed and optimized for the reduced </w:t>
      </w:r>
      <w:r w:rsidR="00CC245B">
        <w:rPr>
          <w:szCs w:val="22"/>
          <w:lang w:eastAsia="sv-SE"/>
        </w:rPr>
        <w:t xml:space="preserve">number of beams for transmitting </w:t>
      </w:r>
      <w:r>
        <w:rPr>
          <w:szCs w:val="22"/>
          <w:lang w:eastAsia="sv-SE"/>
        </w:rPr>
        <w:t xml:space="preserve">PBCH </w:t>
      </w:r>
      <w:r w:rsidR="00CC245B">
        <w:rPr>
          <w:szCs w:val="22"/>
          <w:lang w:eastAsia="sv-SE"/>
        </w:rPr>
        <w:t>signal burst</w:t>
      </w:r>
      <w:r>
        <w:rPr>
          <w:szCs w:val="22"/>
          <w:lang w:eastAsia="sv-SE"/>
        </w:rPr>
        <w:t xml:space="preserve"> in the beam sweep. </w:t>
      </w:r>
      <w:r>
        <w:rPr>
          <w:lang w:val="en-US"/>
        </w:rPr>
        <w:t xml:space="preserve">In another scheme, the </w:t>
      </w:r>
      <w:r w:rsidR="00423383">
        <w:rPr>
          <w:lang w:val="en-US"/>
        </w:rPr>
        <w:t>TRP may</w:t>
      </w:r>
      <w:r>
        <w:rPr>
          <w:lang w:val="en-US"/>
        </w:rPr>
        <w:t xml:space="preserve"> use M beams to cover the entire desired spatial region, </w:t>
      </w:r>
      <w:r w:rsidR="0057074F">
        <w:rPr>
          <w:lang w:val="en-US"/>
        </w:rPr>
        <w:t xml:space="preserve">or </w:t>
      </w:r>
      <w:r>
        <w:rPr>
          <w:lang w:val="en-US"/>
        </w:rPr>
        <w:t xml:space="preserve">it </w:t>
      </w:r>
      <w:r w:rsidR="0057074F">
        <w:rPr>
          <w:lang w:val="en-US"/>
        </w:rPr>
        <w:t>may</w:t>
      </w:r>
      <w:r>
        <w:rPr>
          <w:lang w:val="en-US"/>
        </w:rPr>
        <w:t xml:space="preserve"> instead cover the same spatial region with less than M beams (e.g. M/2).  </w:t>
      </w:r>
      <w:r w:rsidR="0057074F">
        <w:rPr>
          <w:lang w:val="en-US"/>
        </w:rPr>
        <w:t xml:space="preserve">With fewer </w:t>
      </w:r>
      <w:r>
        <w:rPr>
          <w:lang w:val="en-US"/>
        </w:rPr>
        <w:t xml:space="preserve">beams </w:t>
      </w:r>
      <w:r w:rsidR="0057074F">
        <w:rPr>
          <w:lang w:val="en-US"/>
        </w:rPr>
        <w:t xml:space="preserve">they </w:t>
      </w:r>
      <w:r>
        <w:rPr>
          <w:lang w:val="en-US"/>
        </w:rPr>
        <w:t>will be wider and hence have less directivity gain. This may be used to establish an initial setting for the beam pairing. A hierarchical type beam sweep procedure can be defined to take advantage of the different beam sizes</w:t>
      </w:r>
      <w:r w:rsidR="003B09C2">
        <w:rPr>
          <w:lang w:val="en-US"/>
        </w:rPr>
        <w:t xml:space="preserve"> </w:t>
      </w:r>
      <w:r w:rsidR="003B09C2">
        <w:rPr>
          <w:lang w:val="en-US"/>
        </w:rPr>
        <w:fldChar w:fldCharType="begin"/>
      </w:r>
      <w:r w:rsidR="003B09C2">
        <w:rPr>
          <w:lang w:val="en-US"/>
        </w:rPr>
        <w:instrText xml:space="preserve"> REF _Ref465928293 \r \h </w:instrText>
      </w:r>
      <w:r w:rsidR="003B09C2">
        <w:rPr>
          <w:lang w:val="en-US"/>
        </w:rPr>
      </w:r>
      <w:r w:rsidR="003B09C2">
        <w:rPr>
          <w:lang w:val="en-US"/>
        </w:rPr>
        <w:fldChar w:fldCharType="separate"/>
      </w:r>
      <w:r w:rsidR="007F3383">
        <w:rPr>
          <w:lang w:val="en-US"/>
        </w:rPr>
        <w:t>[9]</w:t>
      </w:r>
      <w:r w:rsidR="003B09C2">
        <w:rPr>
          <w:lang w:val="en-US"/>
        </w:rPr>
        <w:fldChar w:fldCharType="end"/>
      </w:r>
      <w:r>
        <w:rPr>
          <w:lang w:val="en-US"/>
        </w:rPr>
        <w:t xml:space="preserve">. </w:t>
      </w:r>
    </w:p>
    <w:p w14:paraId="04EA8935" w14:textId="2C05C542" w:rsidR="00A00E39" w:rsidRDefault="00A00E39" w:rsidP="00A00E39">
      <w:pPr>
        <w:spacing w:afterLines="50"/>
        <w:rPr>
          <w:szCs w:val="24"/>
          <w:lang w:val="en-US"/>
        </w:rPr>
      </w:pPr>
      <w:r>
        <w:rPr>
          <w:szCs w:val="24"/>
          <w:lang w:val="en-US"/>
        </w:rPr>
        <w:t xml:space="preserve">A short beam sweep burst may be used to enable </w:t>
      </w:r>
      <w:r w:rsidR="0057074F">
        <w:rPr>
          <w:szCs w:val="24"/>
          <w:lang w:val="en-US"/>
        </w:rPr>
        <w:t xml:space="preserve">a following </w:t>
      </w:r>
      <w:r>
        <w:rPr>
          <w:szCs w:val="24"/>
          <w:lang w:val="en-US"/>
        </w:rPr>
        <w:t>beam sweep</w:t>
      </w:r>
      <w:r w:rsidR="0057074F">
        <w:rPr>
          <w:szCs w:val="24"/>
          <w:lang w:val="en-US"/>
        </w:rPr>
        <w:t xml:space="preserve"> procedure</w:t>
      </w:r>
      <w:r>
        <w:rPr>
          <w:szCs w:val="24"/>
          <w:lang w:val="en-US"/>
        </w:rPr>
        <w:t xml:space="preserve"> to achieve low overhead and latency. </w:t>
      </w:r>
      <w:r w:rsidR="0057074F">
        <w:rPr>
          <w:szCs w:val="24"/>
          <w:lang w:val="en-US"/>
        </w:rPr>
        <w:t xml:space="preserve">A short </w:t>
      </w:r>
      <w:r>
        <w:rPr>
          <w:szCs w:val="24"/>
          <w:lang w:val="en-US"/>
        </w:rPr>
        <w:t xml:space="preserve">beam sweep burst is much shorter than </w:t>
      </w:r>
      <w:r w:rsidR="0057074F">
        <w:rPr>
          <w:szCs w:val="24"/>
          <w:lang w:val="en-US"/>
        </w:rPr>
        <w:t xml:space="preserve">a </w:t>
      </w:r>
      <w:r>
        <w:rPr>
          <w:szCs w:val="24"/>
          <w:lang w:val="en-US"/>
        </w:rPr>
        <w:t xml:space="preserve">full beam sweep burst, therefore it may reduce </w:t>
      </w:r>
      <w:r w:rsidR="0057074F">
        <w:rPr>
          <w:szCs w:val="24"/>
          <w:lang w:val="en-US"/>
        </w:rPr>
        <w:t xml:space="preserve">the </w:t>
      </w:r>
      <w:r>
        <w:rPr>
          <w:szCs w:val="24"/>
          <w:lang w:val="en-US"/>
        </w:rPr>
        <w:t xml:space="preserve">beam sweep overhead and potentially </w:t>
      </w:r>
      <w:r w:rsidR="0057074F">
        <w:rPr>
          <w:szCs w:val="24"/>
          <w:lang w:val="en-US"/>
        </w:rPr>
        <w:t xml:space="preserve">the </w:t>
      </w:r>
      <w:r>
        <w:rPr>
          <w:szCs w:val="24"/>
          <w:lang w:val="en-US"/>
        </w:rPr>
        <w:t xml:space="preserve">latency for </w:t>
      </w:r>
      <w:r w:rsidR="0057074F">
        <w:rPr>
          <w:szCs w:val="24"/>
          <w:lang w:val="en-US"/>
        </w:rPr>
        <w:t xml:space="preserve">the </w:t>
      </w:r>
      <w:r>
        <w:rPr>
          <w:szCs w:val="24"/>
          <w:lang w:val="en-US"/>
        </w:rPr>
        <w:t>UE to acquire</w:t>
      </w:r>
      <w:r w:rsidR="0057074F">
        <w:rPr>
          <w:szCs w:val="24"/>
          <w:lang w:val="en-US"/>
        </w:rPr>
        <w:t xml:space="preserve"> the</w:t>
      </w:r>
      <w:r>
        <w:rPr>
          <w:szCs w:val="24"/>
          <w:lang w:val="en-US"/>
        </w:rPr>
        <w:t xml:space="preserve"> PBCH signal</w:t>
      </w:r>
      <w:r w:rsidR="00423383">
        <w:rPr>
          <w:szCs w:val="24"/>
          <w:lang w:val="en-US"/>
        </w:rPr>
        <w:t xml:space="preserve"> or system information</w:t>
      </w:r>
      <w:r>
        <w:rPr>
          <w:szCs w:val="24"/>
          <w:lang w:val="en-US"/>
        </w:rPr>
        <w:t xml:space="preserve">. For </w:t>
      </w:r>
      <w:r w:rsidR="0057074F">
        <w:rPr>
          <w:szCs w:val="24"/>
          <w:lang w:val="en-US"/>
        </w:rPr>
        <w:t xml:space="preserve">the </w:t>
      </w:r>
      <w:r>
        <w:rPr>
          <w:szCs w:val="24"/>
          <w:lang w:val="en-US"/>
        </w:rPr>
        <w:t xml:space="preserve">gNB or TRP which </w:t>
      </w:r>
      <w:r w:rsidR="0057074F">
        <w:rPr>
          <w:szCs w:val="24"/>
          <w:lang w:val="en-US"/>
        </w:rPr>
        <w:t xml:space="preserve">may </w:t>
      </w:r>
      <w:r>
        <w:rPr>
          <w:szCs w:val="24"/>
          <w:lang w:val="en-US"/>
        </w:rPr>
        <w:t xml:space="preserve">deploy M beams, </w:t>
      </w:r>
      <w:r w:rsidR="0057074F">
        <w:rPr>
          <w:szCs w:val="24"/>
          <w:lang w:val="en-US"/>
        </w:rPr>
        <w:t xml:space="preserve">a </w:t>
      </w:r>
      <w:r>
        <w:rPr>
          <w:szCs w:val="24"/>
          <w:lang w:val="en-US"/>
        </w:rPr>
        <w:t xml:space="preserve">full beam sweep requires </w:t>
      </w:r>
      <w:r w:rsidR="0057074F">
        <w:rPr>
          <w:szCs w:val="24"/>
          <w:lang w:val="en-US"/>
        </w:rPr>
        <w:t xml:space="preserve">it </w:t>
      </w:r>
      <w:r>
        <w:rPr>
          <w:szCs w:val="24"/>
          <w:lang w:val="en-US"/>
        </w:rPr>
        <w:t>to sweep through all M beams</w:t>
      </w:r>
      <w:r w:rsidR="0057074F">
        <w:rPr>
          <w:szCs w:val="24"/>
          <w:lang w:val="en-US"/>
        </w:rPr>
        <w:t>, however a</w:t>
      </w:r>
      <w:r>
        <w:rPr>
          <w:szCs w:val="24"/>
          <w:lang w:val="en-US"/>
        </w:rPr>
        <w:t xml:space="preserve"> short beam sweep </w:t>
      </w:r>
      <w:r w:rsidR="0057074F">
        <w:rPr>
          <w:szCs w:val="24"/>
          <w:lang w:val="en-US"/>
        </w:rPr>
        <w:t xml:space="preserve">may only be </w:t>
      </w:r>
      <w:r>
        <w:rPr>
          <w:szCs w:val="24"/>
          <w:lang w:val="en-US"/>
        </w:rPr>
        <w:t>require</w:t>
      </w:r>
      <w:r w:rsidR="0057074F">
        <w:rPr>
          <w:szCs w:val="24"/>
          <w:lang w:val="en-US"/>
        </w:rPr>
        <w:t>d</w:t>
      </w:r>
      <w:r>
        <w:rPr>
          <w:szCs w:val="24"/>
          <w:lang w:val="en-US"/>
        </w:rPr>
        <w:t xml:space="preserve"> to sweep through K beams </w:t>
      </w:r>
      <w:r w:rsidR="0057074F">
        <w:rPr>
          <w:szCs w:val="24"/>
          <w:lang w:val="en-US"/>
        </w:rPr>
        <w:t xml:space="preserve">where </w:t>
      </w:r>
      <m:oMath>
        <m:r>
          <w:rPr>
            <w:rFonts w:ascii="Cambria Math" w:hAnsi="Cambria Math"/>
            <w:szCs w:val="24"/>
            <w:lang w:val="en-US"/>
          </w:rPr>
          <m:t>K≪M</m:t>
        </m:r>
      </m:oMath>
      <w:r>
        <w:rPr>
          <w:szCs w:val="24"/>
          <w:lang w:val="en-US"/>
        </w:rPr>
        <w:t>.</w:t>
      </w:r>
    </w:p>
    <w:p w14:paraId="349E5A25" w14:textId="28A51470" w:rsidR="00A00E39" w:rsidRDefault="00A00E39" w:rsidP="00A00E39">
      <w:pPr>
        <w:rPr>
          <w:szCs w:val="22"/>
          <w:lang w:eastAsia="sv-SE"/>
        </w:rPr>
      </w:pPr>
      <w:r>
        <w:rPr>
          <w:szCs w:val="22"/>
          <w:lang w:eastAsia="sv-SE"/>
        </w:rPr>
        <w:t xml:space="preserve">With proper design for </w:t>
      </w:r>
      <w:r w:rsidR="0057074F">
        <w:rPr>
          <w:szCs w:val="22"/>
          <w:lang w:eastAsia="sv-SE"/>
        </w:rPr>
        <w:t xml:space="preserve">the </w:t>
      </w:r>
      <w:r>
        <w:rPr>
          <w:szCs w:val="22"/>
          <w:lang w:eastAsia="sv-SE"/>
        </w:rPr>
        <w:t xml:space="preserve">PBCH, such as associating </w:t>
      </w:r>
      <w:r w:rsidR="0057074F">
        <w:rPr>
          <w:szCs w:val="22"/>
          <w:lang w:eastAsia="sv-SE"/>
        </w:rPr>
        <w:t xml:space="preserve">the </w:t>
      </w:r>
      <w:r>
        <w:rPr>
          <w:szCs w:val="22"/>
          <w:lang w:eastAsia="sv-SE"/>
        </w:rPr>
        <w:t xml:space="preserve">PBCH with other transmission channels, the best downlink transmission beam for PBCH may be a good indication for </w:t>
      </w:r>
      <w:r w:rsidR="00991DD5">
        <w:rPr>
          <w:szCs w:val="22"/>
          <w:lang w:eastAsia="sv-SE"/>
        </w:rPr>
        <w:t>an</w:t>
      </w:r>
      <w:r>
        <w:rPr>
          <w:szCs w:val="22"/>
          <w:lang w:eastAsia="sv-SE"/>
        </w:rPr>
        <w:t xml:space="preserve">other downlink transmission beam of </w:t>
      </w:r>
      <w:r w:rsidR="00991DD5">
        <w:rPr>
          <w:szCs w:val="22"/>
          <w:lang w:eastAsia="sv-SE"/>
        </w:rPr>
        <w:t>an</w:t>
      </w:r>
      <w:r>
        <w:rPr>
          <w:szCs w:val="22"/>
          <w:lang w:eastAsia="sv-SE"/>
        </w:rPr>
        <w:t xml:space="preserve">other downlink channel. This could reduce or eliminate the beam sweep </w:t>
      </w:r>
      <w:r w:rsidR="00423383">
        <w:rPr>
          <w:szCs w:val="22"/>
          <w:lang w:eastAsia="sv-SE"/>
        </w:rPr>
        <w:t xml:space="preserve">overhead </w:t>
      </w:r>
      <w:r>
        <w:rPr>
          <w:szCs w:val="22"/>
          <w:lang w:eastAsia="sv-SE"/>
        </w:rPr>
        <w:t>for subsequent downlink transmission</w:t>
      </w:r>
      <w:r w:rsidR="00991DD5">
        <w:rPr>
          <w:szCs w:val="22"/>
          <w:lang w:eastAsia="sv-SE"/>
        </w:rPr>
        <w:t>s</w:t>
      </w:r>
      <w:r>
        <w:rPr>
          <w:szCs w:val="22"/>
          <w:lang w:eastAsia="sv-SE"/>
        </w:rPr>
        <w:t>.</w:t>
      </w:r>
    </w:p>
    <w:p w14:paraId="76836A40" w14:textId="77777777" w:rsidR="00995A09" w:rsidRDefault="00995A09" w:rsidP="00A00E39">
      <w:pPr>
        <w:rPr>
          <w:szCs w:val="22"/>
          <w:lang w:eastAsia="sv-SE"/>
        </w:rPr>
      </w:pPr>
    </w:p>
    <w:p w14:paraId="39F51782" w14:textId="7CB8A776" w:rsidR="00A00E39" w:rsidRDefault="00995A09" w:rsidP="00A00E39">
      <w:pPr>
        <w:rPr>
          <w:i/>
          <w:szCs w:val="24"/>
          <w:lang w:val="en-US"/>
        </w:rPr>
      </w:pPr>
      <w:r>
        <w:rPr>
          <w:b/>
          <w:i/>
          <w:szCs w:val="22"/>
          <w:u w:val="single"/>
          <w:lang w:eastAsia="sv-SE"/>
        </w:rPr>
        <w:lastRenderedPageBreak/>
        <w:t>Proposal 1</w:t>
      </w:r>
      <w:r w:rsidR="00A00E39" w:rsidRPr="003E128F">
        <w:rPr>
          <w:b/>
          <w:i/>
          <w:szCs w:val="22"/>
          <w:u w:val="single"/>
          <w:lang w:eastAsia="sv-SE"/>
        </w:rPr>
        <w:t>:</w:t>
      </w:r>
      <w:r w:rsidR="00A00E39" w:rsidRPr="00611209">
        <w:rPr>
          <w:b/>
          <w:szCs w:val="22"/>
          <w:lang w:eastAsia="sv-SE"/>
        </w:rPr>
        <w:t xml:space="preserve"> </w:t>
      </w:r>
      <w:r w:rsidR="00A00E39">
        <w:rPr>
          <w:i/>
          <w:szCs w:val="24"/>
          <w:lang w:val="en-US"/>
        </w:rPr>
        <w:t xml:space="preserve"> PBCH transmission </w:t>
      </w:r>
      <w:r w:rsidR="006C3256">
        <w:rPr>
          <w:i/>
          <w:szCs w:val="24"/>
          <w:lang w:val="en-US"/>
        </w:rPr>
        <w:t xml:space="preserve">based on all or a subset of </w:t>
      </w:r>
      <w:r w:rsidR="00A00E39">
        <w:rPr>
          <w:i/>
          <w:szCs w:val="24"/>
          <w:lang w:val="en-US"/>
        </w:rPr>
        <w:t xml:space="preserve">beams in a beam sweep </w:t>
      </w:r>
      <w:r w:rsidR="00991DD5">
        <w:rPr>
          <w:i/>
          <w:szCs w:val="24"/>
          <w:lang w:val="en-US"/>
        </w:rPr>
        <w:t xml:space="preserve">procedure </w:t>
      </w:r>
      <w:r w:rsidR="0023612C">
        <w:rPr>
          <w:i/>
          <w:szCs w:val="24"/>
          <w:lang w:val="en-US"/>
        </w:rPr>
        <w:t>should be considered</w:t>
      </w:r>
      <w:r w:rsidR="00A00E39">
        <w:rPr>
          <w:i/>
          <w:szCs w:val="24"/>
          <w:lang w:val="en-US"/>
        </w:rPr>
        <w:t>.</w:t>
      </w:r>
    </w:p>
    <w:p w14:paraId="2B63CC5D" w14:textId="77777777" w:rsidR="009E41D1" w:rsidRDefault="009E41D1" w:rsidP="00F04252">
      <w:pPr>
        <w:rPr>
          <w:i/>
          <w:szCs w:val="22"/>
          <w:lang w:eastAsia="sv-SE"/>
        </w:rPr>
      </w:pPr>
    </w:p>
    <w:p w14:paraId="41F0904A" w14:textId="6F9E2A0A" w:rsidR="00DD66C5" w:rsidRDefault="00470A88" w:rsidP="00A00E39">
      <w:pPr>
        <w:rPr>
          <w:szCs w:val="22"/>
        </w:rPr>
      </w:pPr>
      <w:r>
        <w:t xml:space="preserve">As mentioned </w:t>
      </w:r>
      <w:r w:rsidR="008D5DB0">
        <w:t xml:space="preserve">previously </w:t>
      </w:r>
      <w:r>
        <w:t xml:space="preserve">minimizing the number of PBCH beams participating in a TRP-oriented beam sweep </w:t>
      </w:r>
      <w:r w:rsidR="00991DD5">
        <w:t>procedure may</w:t>
      </w:r>
      <w:r>
        <w:t xml:space="preserve"> reduce power, overhead, and interference.  </w:t>
      </w:r>
      <w:r w:rsidR="00DE3B6E">
        <w:t xml:space="preserve">System level simulations were performed </w:t>
      </w:r>
      <w:r>
        <w:t xml:space="preserve">to </w:t>
      </w:r>
      <w:r w:rsidR="00F05CCB">
        <w:t>analyse</w:t>
      </w:r>
      <w:r>
        <w:t xml:space="preserve"> this possibility, focusing on the number of required beams for </w:t>
      </w:r>
      <w:r w:rsidR="00991DD5">
        <w:t xml:space="preserve">the </w:t>
      </w:r>
      <w:r>
        <w:t xml:space="preserve">PBCH and the </w:t>
      </w:r>
      <w:r w:rsidR="00F05CCB">
        <w:t>resulting</w:t>
      </w:r>
      <w:r>
        <w:t xml:space="preserve"> SINR measured by the UE.  The simulations first perform a non-</w:t>
      </w:r>
      <w:r>
        <w:rPr>
          <w:szCs w:val="22"/>
        </w:rPr>
        <w:t xml:space="preserve">hierarchical initial access procedure as in </w:t>
      </w:r>
      <w:r w:rsidR="00612377">
        <w:rPr>
          <w:szCs w:val="22"/>
        </w:rPr>
        <w:fldChar w:fldCharType="begin"/>
      </w:r>
      <w:r w:rsidR="00612377">
        <w:rPr>
          <w:szCs w:val="22"/>
        </w:rPr>
        <w:instrText xml:space="preserve"> REF _Ref465928293 \n \h </w:instrText>
      </w:r>
      <w:r w:rsidR="00612377">
        <w:rPr>
          <w:szCs w:val="22"/>
        </w:rPr>
      </w:r>
      <w:r w:rsidR="00612377">
        <w:rPr>
          <w:szCs w:val="22"/>
        </w:rPr>
        <w:fldChar w:fldCharType="separate"/>
      </w:r>
      <w:r w:rsidR="007F3383">
        <w:rPr>
          <w:szCs w:val="22"/>
        </w:rPr>
        <w:t>[9]</w:t>
      </w:r>
      <w:r w:rsidR="00612377">
        <w:rPr>
          <w:szCs w:val="22"/>
        </w:rPr>
        <w:fldChar w:fldCharType="end"/>
      </w:r>
      <w:r w:rsidR="00995A09">
        <w:rPr>
          <w:szCs w:val="22"/>
        </w:rPr>
        <w:t xml:space="preserve">. </w:t>
      </w:r>
      <w:r>
        <w:rPr>
          <w:szCs w:val="22"/>
        </w:rPr>
        <w:t xml:space="preserve">After </w:t>
      </w:r>
      <w:r w:rsidR="00F05CCB">
        <w:rPr>
          <w:szCs w:val="22"/>
        </w:rPr>
        <w:t>completion</w:t>
      </w:r>
      <w:r w:rsidR="00612377">
        <w:rPr>
          <w:szCs w:val="22"/>
        </w:rPr>
        <w:t xml:space="preserve"> of the initial access procedure the</w:t>
      </w:r>
      <w:r>
        <w:rPr>
          <w:szCs w:val="22"/>
        </w:rPr>
        <w:t xml:space="preserve"> TRPs can learn</w:t>
      </w:r>
      <w:r w:rsidR="00612377">
        <w:rPr>
          <w:szCs w:val="22"/>
        </w:rPr>
        <w:t>,</w:t>
      </w:r>
      <w:r>
        <w:rPr>
          <w:szCs w:val="22"/>
        </w:rPr>
        <w:t xml:space="preserve"> (e.g. vi</w:t>
      </w:r>
      <w:r w:rsidR="00612377">
        <w:rPr>
          <w:szCs w:val="22"/>
        </w:rPr>
        <w:t>a</w:t>
      </w:r>
      <w:r>
        <w:rPr>
          <w:szCs w:val="22"/>
        </w:rPr>
        <w:t xml:space="preserve"> UE feedback), which </w:t>
      </w:r>
      <w:r w:rsidR="00612377">
        <w:rPr>
          <w:szCs w:val="22"/>
        </w:rPr>
        <w:t xml:space="preserve">of its </w:t>
      </w:r>
      <w:r>
        <w:rPr>
          <w:szCs w:val="22"/>
        </w:rPr>
        <w:t>beams are being used by the UEs it is serving.  With thi</w:t>
      </w:r>
      <w:r w:rsidR="00FB22C2">
        <w:rPr>
          <w:szCs w:val="22"/>
        </w:rPr>
        <w:t>s</w:t>
      </w:r>
      <w:r>
        <w:rPr>
          <w:szCs w:val="22"/>
        </w:rPr>
        <w:t xml:space="preserve"> information all other TRP beams can be disabled, hence reducing </w:t>
      </w:r>
      <w:r w:rsidR="00612377">
        <w:rPr>
          <w:szCs w:val="22"/>
        </w:rPr>
        <w:t xml:space="preserve">overhead, power, and </w:t>
      </w:r>
      <w:r>
        <w:rPr>
          <w:szCs w:val="22"/>
        </w:rPr>
        <w:t xml:space="preserve">interference </w:t>
      </w:r>
      <w:r w:rsidR="00612377">
        <w:rPr>
          <w:szCs w:val="22"/>
        </w:rPr>
        <w:t xml:space="preserve">to UEs being served by other TRPs.  </w:t>
      </w:r>
      <w:r w:rsidR="00FB22C2">
        <w:rPr>
          <w:szCs w:val="22"/>
        </w:rPr>
        <w:t xml:space="preserve">  </w:t>
      </w:r>
    </w:p>
    <w:p w14:paraId="47AA4280" w14:textId="34F3ADE9" w:rsidR="00E86E51" w:rsidRDefault="00FB22C2" w:rsidP="00A00E39">
      <w:pPr>
        <w:rPr>
          <w:szCs w:val="22"/>
        </w:rPr>
      </w:pPr>
      <w:r>
        <w:rPr>
          <w:szCs w:val="22"/>
        </w:rPr>
        <w:t>In the system simulations the SINR measured during the initial access procedure,</w:t>
      </w:r>
      <w:r w:rsidR="00866C3A">
        <w:rPr>
          <w:szCs w:val="22"/>
        </w:rPr>
        <w:t xml:space="preserve"> </w:t>
      </w:r>
      <w:r w:rsidR="00F05CCB">
        <w:rPr>
          <w:szCs w:val="22"/>
        </w:rPr>
        <w:t>referred</w:t>
      </w:r>
      <w:r w:rsidR="00866C3A">
        <w:rPr>
          <w:szCs w:val="22"/>
        </w:rPr>
        <w:t xml:space="preserve"> to as</w:t>
      </w:r>
      <w:r>
        <w:rPr>
          <w:szCs w:val="22"/>
        </w:rPr>
        <w:t xml:space="preserve"> “association SINR”</w:t>
      </w:r>
      <w:r w:rsidR="00866C3A">
        <w:rPr>
          <w:szCs w:val="22"/>
        </w:rPr>
        <w:t>,</w:t>
      </w:r>
      <w:r>
        <w:rPr>
          <w:szCs w:val="22"/>
        </w:rPr>
        <w:t xml:space="preserve"> and the SINR measured after all allowable TRP beams are disabled,</w:t>
      </w:r>
      <w:r w:rsidR="00866C3A">
        <w:rPr>
          <w:szCs w:val="22"/>
        </w:rPr>
        <w:t xml:space="preserve"> referred to as</w:t>
      </w:r>
      <w:r>
        <w:rPr>
          <w:szCs w:val="22"/>
        </w:rPr>
        <w:t xml:space="preserve"> “post-association SINR”</w:t>
      </w:r>
      <w:r w:rsidR="00866C3A">
        <w:rPr>
          <w:szCs w:val="22"/>
        </w:rPr>
        <w:t>,</w:t>
      </w:r>
      <w:r>
        <w:rPr>
          <w:szCs w:val="22"/>
        </w:rPr>
        <w:t xml:space="preserve"> are compared.  Various aspects </w:t>
      </w:r>
      <w:r w:rsidR="00866C3A">
        <w:rPr>
          <w:szCs w:val="22"/>
        </w:rPr>
        <w:t xml:space="preserve">of the system </w:t>
      </w:r>
      <w:r>
        <w:rPr>
          <w:szCs w:val="22"/>
        </w:rPr>
        <w:t xml:space="preserve">may </w:t>
      </w:r>
      <w:r w:rsidR="00F05CCB">
        <w:rPr>
          <w:szCs w:val="22"/>
        </w:rPr>
        <w:t>affect</w:t>
      </w:r>
      <w:r>
        <w:rPr>
          <w:szCs w:val="22"/>
        </w:rPr>
        <w:t xml:space="preserve"> the number of TRP beams that are used to serve the current UEs.  Two </w:t>
      </w:r>
      <w:r w:rsidR="00866C3A">
        <w:rPr>
          <w:szCs w:val="22"/>
        </w:rPr>
        <w:t xml:space="preserve">aspects </w:t>
      </w:r>
      <w:r w:rsidR="00991DD5">
        <w:rPr>
          <w:szCs w:val="22"/>
        </w:rPr>
        <w:t xml:space="preserve">the </w:t>
      </w:r>
      <w:r w:rsidR="00866C3A">
        <w:rPr>
          <w:szCs w:val="22"/>
        </w:rPr>
        <w:t xml:space="preserve">simulations </w:t>
      </w:r>
      <w:r>
        <w:rPr>
          <w:szCs w:val="22"/>
        </w:rPr>
        <w:t xml:space="preserve">focus on are: 1.) UE density, 2.) uniform vs. non-uniform UE distribution.  </w:t>
      </w:r>
      <w:r w:rsidR="00866C3A">
        <w:rPr>
          <w:szCs w:val="22"/>
        </w:rPr>
        <w:t xml:space="preserve">The </w:t>
      </w:r>
      <w:r w:rsidR="00320B34">
        <w:rPr>
          <w:szCs w:val="22"/>
        </w:rPr>
        <w:t>simulations include a low, me</w:t>
      </w:r>
      <w:r>
        <w:rPr>
          <w:szCs w:val="22"/>
        </w:rPr>
        <w:t>dium</w:t>
      </w:r>
      <w:r w:rsidR="00866C3A">
        <w:rPr>
          <w:szCs w:val="22"/>
        </w:rPr>
        <w:t>,</w:t>
      </w:r>
      <w:r>
        <w:rPr>
          <w:szCs w:val="22"/>
        </w:rPr>
        <w:t xml:space="preserve"> and high UE </w:t>
      </w:r>
      <w:r w:rsidR="00F05CCB">
        <w:rPr>
          <w:szCs w:val="22"/>
        </w:rPr>
        <w:t>density</w:t>
      </w:r>
      <w:r>
        <w:rPr>
          <w:szCs w:val="22"/>
        </w:rPr>
        <w:t xml:space="preserve"> as detailed in</w:t>
      </w:r>
      <w:r w:rsidR="005C7AC4">
        <w:rPr>
          <w:szCs w:val="22"/>
        </w:rPr>
        <w:t xml:space="preserve"> </w:t>
      </w:r>
      <w:r w:rsidR="005C7AC4">
        <w:rPr>
          <w:szCs w:val="22"/>
        </w:rPr>
        <w:fldChar w:fldCharType="begin"/>
      </w:r>
      <w:r w:rsidR="005C7AC4">
        <w:rPr>
          <w:szCs w:val="22"/>
        </w:rPr>
        <w:instrText xml:space="preserve"> REF _Ref465929413 \h </w:instrText>
      </w:r>
      <w:r w:rsidR="005C7AC4">
        <w:rPr>
          <w:szCs w:val="22"/>
        </w:rPr>
      </w:r>
      <w:r w:rsidR="005C7AC4">
        <w:rPr>
          <w:szCs w:val="22"/>
        </w:rPr>
        <w:fldChar w:fldCharType="separate"/>
      </w:r>
      <w:r w:rsidR="007F3383">
        <w:t xml:space="preserve">Table </w:t>
      </w:r>
      <w:r w:rsidR="007F3383">
        <w:rPr>
          <w:noProof/>
        </w:rPr>
        <w:t>3</w:t>
      </w:r>
      <w:r w:rsidR="005C7AC4">
        <w:rPr>
          <w:szCs w:val="22"/>
        </w:rPr>
        <w:fldChar w:fldCharType="end"/>
      </w:r>
      <w:r>
        <w:rPr>
          <w:szCs w:val="22"/>
        </w:rPr>
        <w:t>.</w:t>
      </w:r>
      <w:r w:rsidR="00320B34">
        <w:rPr>
          <w:szCs w:val="22"/>
        </w:rPr>
        <w:t xml:space="preserve">  In each of these cases the UEs</w:t>
      </w:r>
      <w:r w:rsidR="00991DD5">
        <w:rPr>
          <w:szCs w:val="22"/>
        </w:rPr>
        <w:t xml:space="preserve"> are dropped</w:t>
      </w:r>
      <w:r w:rsidR="00320B34">
        <w:rPr>
          <w:szCs w:val="22"/>
        </w:rPr>
        <w:t xml:space="preserve"> either uniformly or non-uniformly</w:t>
      </w:r>
      <w:r w:rsidR="005C7AC4">
        <w:rPr>
          <w:szCs w:val="22"/>
        </w:rPr>
        <w:t xml:space="preserve"> in the cell center</w:t>
      </w:r>
      <w:r w:rsidR="00320B34">
        <w:rPr>
          <w:szCs w:val="22"/>
        </w:rPr>
        <w:t xml:space="preserve">.  For non-uniform UE placement an angular region </w:t>
      </w:r>
      <w:r w:rsidR="00991DD5">
        <w:rPr>
          <w:szCs w:val="22"/>
        </w:rPr>
        <w:t xml:space="preserve">is defined </w:t>
      </w:r>
      <w:r w:rsidR="00320B34">
        <w:rPr>
          <w:szCs w:val="22"/>
        </w:rPr>
        <w:t xml:space="preserve">where the UEs will be placed.  </w:t>
      </w:r>
      <w:r w:rsidR="00D91406">
        <w:rPr>
          <w:szCs w:val="22"/>
        </w:rPr>
        <w:t xml:space="preserve">For </w:t>
      </w:r>
      <w:r w:rsidR="00F05CCB">
        <w:rPr>
          <w:szCs w:val="22"/>
        </w:rPr>
        <w:t>illustrative</w:t>
      </w:r>
      <w:r w:rsidR="00D91406">
        <w:rPr>
          <w:szCs w:val="22"/>
        </w:rPr>
        <w:t xml:space="preserve"> purposes, </w:t>
      </w:r>
      <w:r w:rsidR="00D91406">
        <w:rPr>
          <w:szCs w:val="22"/>
        </w:rPr>
        <w:fldChar w:fldCharType="begin"/>
      </w:r>
      <w:r w:rsidR="00D91406">
        <w:rPr>
          <w:szCs w:val="22"/>
        </w:rPr>
        <w:instrText xml:space="preserve"> REF _Ref465860768 \h </w:instrText>
      </w:r>
      <w:r w:rsidR="00D91406">
        <w:rPr>
          <w:szCs w:val="22"/>
        </w:rPr>
      </w:r>
      <w:r w:rsidR="00D91406">
        <w:rPr>
          <w:szCs w:val="22"/>
        </w:rPr>
        <w:fldChar w:fldCharType="separate"/>
      </w:r>
      <w:r w:rsidR="007F3383">
        <w:t xml:space="preserve">Figure </w:t>
      </w:r>
      <w:r w:rsidR="007F3383">
        <w:rPr>
          <w:noProof/>
        </w:rPr>
        <w:t>2</w:t>
      </w:r>
      <w:r w:rsidR="00D91406">
        <w:rPr>
          <w:szCs w:val="22"/>
        </w:rPr>
        <w:fldChar w:fldCharType="end"/>
      </w:r>
      <w:r w:rsidR="00320B34">
        <w:rPr>
          <w:szCs w:val="22"/>
        </w:rPr>
        <w:t xml:space="preserve"> shows a</w:t>
      </w:r>
      <w:r w:rsidR="005C7AC4">
        <w:rPr>
          <w:szCs w:val="22"/>
        </w:rPr>
        <w:t xml:space="preserve"> non-</w:t>
      </w:r>
      <w:r w:rsidR="00320B34">
        <w:rPr>
          <w:szCs w:val="22"/>
        </w:rPr>
        <w:t xml:space="preserve">uniform </w:t>
      </w:r>
      <w:r w:rsidR="005C7AC4">
        <w:rPr>
          <w:szCs w:val="22"/>
        </w:rPr>
        <w:t xml:space="preserve">and </w:t>
      </w:r>
      <w:r w:rsidR="00320B34">
        <w:rPr>
          <w:szCs w:val="22"/>
        </w:rPr>
        <w:t xml:space="preserve">uniform UE placement example.  </w:t>
      </w:r>
      <w:r w:rsidR="00D91406">
        <w:rPr>
          <w:szCs w:val="22"/>
        </w:rPr>
        <w:t>Note t</w:t>
      </w:r>
      <w:r w:rsidR="00320B34">
        <w:rPr>
          <w:szCs w:val="22"/>
        </w:rPr>
        <w:t>he UE den</w:t>
      </w:r>
      <w:r w:rsidR="005C7AC4">
        <w:rPr>
          <w:szCs w:val="22"/>
        </w:rPr>
        <w:t>s</w:t>
      </w:r>
      <w:r w:rsidR="00320B34">
        <w:rPr>
          <w:szCs w:val="22"/>
        </w:rPr>
        <w:t>ity is set to be extremely high for illustrative purposes only.</w:t>
      </w:r>
      <w:r w:rsidR="002D7699">
        <w:rPr>
          <w:szCs w:val="22"/>
        </w:rPr>
        <w:t xml:space="preserve">  </w:t>
      </w:r>
      <w:r w:rsidR="002D7699">
        <w:rPr>
          <w:szCs w:val="22"/>
        </w:rPr>
        <w:fldChar w:fldCharType="begin"/>
      </w:r>
      <w:r w:rsidR="002D7699">
        <w:rPr>
          <w:szCs w:val="22"/>
        </w:rPr>
        <w:instrText xml:space="preserve"> REF _Ref465861402 \h </w:instrText>
      </w:r>
      <w:r w:rsidR="002D7699">
        <w:rPr>
          <w:szCs w:val="22"/>
        </w:rPr>
      </w:r>
      <w:r w:rsidR="002D7699">
        <w:rPr>
          <w:szCs w:val="22"/>
        </w:rPr>
        <w:fldChar w:fldCharType="separate"/>
      </w:r>
      <w:r w:rsidR="007F3383">
        <w:t xml:space="preserve">Figure </w:t>
      </w:r>
      <w:r w:rsidR="007F3383">
        <w:rPr>
          <w:noProof/>
        </w:rPr>
        <w:t>3</w:t>
      </w:r>
      <w:r w:rsidR="002D7699">
        <w:rPr>
          <w:szCs w:val="22"/>
        </w:rPr>
        <w:fldChar w:fldCharType="end"/>
      </w:r>
      <w:r w:rsidR="002D7699">
        <w:rPr>
          <w:szCs w:val="22"/>
        </w:rPr>
        <w:t xml:space="preserve"> shows the association </w:t>
      </w:r>
      <w:r w:rsidR="00991DD5">
        <w:rPr>
          <w:szCs w:val="22"/>
        </w:rPr>
        <w:t xml:space="preserve">of </w:t>
      </w:r>
      <w:r w:rsidR="005C7AC4">
        <w:rPr>
          <w:szCs w:val="22"/>
        </w:rPr>
        <w:t xml:space="preserve">SINR </w:t>
      </w:r>
      <w:r w:rsidR="002D7699">
        <w:rPr>
          <w:szCs w:val="22"/>
        </w:rPr>
        <w:t xml:space="preserve">versus post association SINR </w:t>
      </w:r>
      <w:r w:rsidR="002D7699">
        <w:rPr>
          <w:szCs w:val="22"/>
        </w:rPr>
        <w:lastRenderedPageBreak/>
        <w:t xml:space="preserve">and </w:t>
      </w:r>
      <w:r w:rsidR="002D7699">
        <w:rPr>
          <w:szCs w:val="22"/>
        </w:rPr>
        <w:fldChar w:fldCharType="begin"/>
      </w:r>
      <w:r w:rsidR="002D7699">
        <w:rPr>
          <w:szCs w:val="22"/>
        </w:rPr>
        <w:instrText xml:space="preserve"> REF _Ref465861404 \h </w:instrText>
      </w:r>
      <w:r w:rsidR="002D7699">
        <w:rPr>
          <w:szCs w:val="22"/>
        </w:rPr>
      </w:r>
      <w:r w:rsidR="002D7699">
        <w:rPr>
          <w:szCs w:val="22"/>
        </w:rPr>
        <w:fldChar w:fldCharType="separate"/>
      </w:r>
      <w:r w:rsidR="007F3383">
        <w:t xml:space="preserve">Figure </w:t>
      </w:r>
      <w:r w:rsidR="007F3383">
        <w:rPr>
          <w:noProof/>
        </w:rPr>
        <w:t>4</w:t>
      </w:r>
      <w:r w:rsidR="002D7699">
        <w:rPr>
          <w:szCs w:val="22"/>
        </w:rPr>
        <w:fldChar w:fldCharType="end"/>
      </w:r>
      <w:r w:rsidR="002D7699">
        <w:rPr>
          <w:szCs w:val="22"/>
        </w:rPr>
        <w:t xml:space="preserve"> shows the percentage of interfering TRPs for each of the system configurations mentioned above.</w:t>
      </w:r>
      <w:r w:rsidR="00F0776D">
        <w:rPr>
          <w:szCs w:val="22"/>
        </w:rPr>
        <w:t xml:space="preserve">  Additionally, </w:t>
      </w:r>
      <w:r w:rsidR="00F0776D">
        <w:rPr>
          <w:szCs w:val="22"/>
        </w:rPr>
        <w:fldChar w:fldCharType="begin"/>
      </w:r>
      <w:r w:rsidR="00F0776D">
        <w:rPr>
          <w:szCs w:val="22"/>
        </w:rPr>
        <w:instrText xml:space="preserve"> REF _Ref465938445 \h </w:instrText>
      </w:r>
      <w:r w:rsidR="00F0776D">
        <w:rPr>
          <w:szCs w:val="22"/>
        </w:rPr>
      </w:r>
      <w:r w:rsidR="00F0776D">
        <w:rPr>
          <w:szCs w:val="22"/>
        </w:rPr>
        <w:fldChar w:fldCharType="separate"/>
      </w:r>
      <w:r w:rsidR="007F3383">
        <w:t xml:space="preserve">Table </w:t>
      </w:r>
      <w:r w:rsidR="007F3383">
        <w:rPr>
          <w:noProof/>
        </w:rPr>
        <w:t>1</w:t>
      </w:r>
      <w:r w:rsidR="00F0776D">
        <w:rPr>
          <w:szCs w:val="22"/>
        </w:rPr>
        <w:fldChar w:fldCharType="end"/>
      </w:r>
      <w:r w:rsidR="00F0776D">
        <w:rPr>
          <w:szCs w:val="22"/>
        </w:rPr>
        <w:t xml:space="preserve"> </w:t>
      </w:r>
      <w:r w:rsidR="00E03C7E">
        <w:rPr>
          <w:szCs w:val="22"/>
        </w:rPr>
        <w:t xml:space="preserve">summarizes the SINR deltas </w:t>
      </w:r>
      <w:r w:rsidR="00F0776D">
        <w:rPr>
          <w:szCs w:val="22"/>
        </w:rPr>
        <w:t xml:space="preserve">and </w:t>
      </w:r>
      <w:r w:rsidR="00E03C7E">
        <w:rPr>
          <w:szCs w:val="22"/>
        </w:rPr>
        <w:fldChar w:fldCharType="begin"/>
      </w:r>
      <w:r w:rsidR="00E03C7E">
        <w:rPr>
          <w:szCs w:val="22"/>
        </w:rPr>
        <w:instrText xml:space="preserve"> REF _Ref465939334 \h </w:instrText>
      </w:r>
      <w:r w:rsidR="00E03C7E">
        <w:rPr>
          <w:szCs w:val="22"/>
        </w:rPr>
      </w:r>
      <w:r w:rsidR="00E03C7E">
        <w:rPr>
          <w:szCs w:val="22"/>
        </w:rPr>
        <w:fldChar w:fldCharType="separate"/>
      </w:r>
      <w:r w:rsidR="007F3383">
        <w:t xml:space="preserve">Table </w:t>
      </w:r>
      <w:r w:rsidR="007F3383">
        <w:rPr>
          <w:noProof/>
        </w:rPr>
        <w:t>2</w:t>
      </w:r>
      <w:r w:rsidR="00E03C7E">
        <w:rPr>
          <w:szCs w:val="22"/>
        </w:rPr>
        <w:fldChar w:fldCharType="end"/>
      </w:r>
      <w:r w:rsidR="00E03C7E">
        <w:rPr>
          <w:szCs w:val="22"/>
        </w:rPr>
        <w:t xml:space="preserve"> summarizes </w:t>
      </w:r>
      <w:r w:rsidR="00C76576">
        <w:rPr>
          <w:szCs w:val="22"/>
        </w:rPr>
        <w:t>the percentage of interfering TRP</w:t>
      </w:r>
      <w:r w:rsidR="00E03C7E">
        <w:rPr>
          <w:szCs w:val="22"/>
        </w:rPr>
        <w:t>s for various percentiles.</w:t>
      </w:r>
      <w:r w:rsidR="002D7699">
        <w:rPr>
          <w:szCs w:val="22"/>
        </w:rPr>
        <w:t xml:space="preserve">  </w:t>
      </w:r>
    </w:p>
    <w:p w14:paraId="48153C60" w14:textId="77777777" w:rsidR="00320B34" w:rsidRDefault="00320B34" w:rsidP="00A00E39">
      <w:pPr>
        <w:rPr>
          <w:szCs w:val="22"/>
        </w:rPr>
      </w:pPr>
    </w:p>
    <w:p w14:paraId="7E01EC65" w14:textId="68723424" w:rsidR="00D91406" w:rsidRDefault="00346279" w:rsidP="00D91406">
      <w:pPr>
        <w:keepNext/>
        <w:jc w:val="center"/>
      </w:pPr>
      <w:r>
        <w:rPr>
          <w:noProof/>
          <w:lang w:val="en-US" w:eastAsia="en-US"/>
        </w:rPr>
        <w:object w:dxaOrig="22029" w:dyaOrig="8608" w14:anchorId="436904FE">
          <v:shape id="_x0000_i1026" type="#_x0000_t75" style="width:474.75pt;height:187.5pt" o:ole="">
            <v:imagedata r:id="rId9" o:title=""/>
          </v:shape>
          <o:OLEObject Type="Embed" ProgID="Visio.Drawing.15" ShapeID="_x0000_i1026" DrawAspect="Content" ObjectID="_1539800873" r:id="rId10"/>
        </w:object>
      </w:r>
    </w:p>
    <w:p w14:paraId="71BA0C62" w14:textId="7613C9D1" w:rsidR="00320B34" w:rsidRDefault="00D91406" w:rsidP="00D91406">
      <w:pPr>
        <w:pStyle w:val="Caption"/>
        <w:rPr>
          <w:szCs w:val="22"/>
        </w:rPr>
      </w:pPr>
      <w:bookmarkStart w:id="4" w:name="_Ref465860768"/>
      <w:r>
        <w:t xml:space="preserve">Figure </w:t>
      </w:r>
      <w:r>
        <w:fldChar w:fldCharType="begin"/>
      </w:r>
      <w:r>
        <w:instrText xml:space="preserve"> SEQ Figure \* ARABIC </w:instrText>
      </w:r>
      <w:r>
        <w:fldChar w:fldCharType="separate"/>
      </w:r>
      <w:r w:rsidR="007F3383">
        <w:rPr>
          <w:noProof/>
        </w:rPr>
        <w:t>2</w:t>
      </w:r>
      <w:r>
        <w:fldChar w:fldCharType="end"/>
      </w:r>
      <w:bookmarkEnd w:id="4"/>
      <w:r>
        <w:t xml:space="preserve">. Illustration of Cell Center </w:t>
      </w:r>
      <w:r w:rsidR="00F05CCB">
        <w:t>Uniform</w:t>
      </w:r>
      <w:r>
        <w:t xml:space="preserve"> and No</w:t>
      </w:r>
      <w:r w:rsidR="00346279">
        <w:t>n</w:t>
      </w:r>
      <w:r>
        <w:t>-Uniform UE placement</w:t>
      </w:r>
    </w:p>
    <w:p w14:paraId="0979FFD2" w14:textId="77777777" w:rsidR="00320B34" w:rsidRDefault="00320B34" w:rsidP="00A00E39">
      <w:pPr>
        <w:rPr>
          <w:lang w:val="en-US"/>
        </w:rPr>
      </w:pPr>
    </w:p>
    <w:p w14:paraId="2AE8CF9E" w14:textId="77777777" w:rsidR="001D3BD9" w:rsidRDefault="001D3BD9" w:rsidP="00A00E39">
      <w:pPr>
        <w:rPr>
          <w:lang w:val="en-US"/>
        </w:rPr>
      </w:pPr>
    </w:p>
    <w:p w14:paraId="40719838" w14:textId="77777777" w:rsidR="001D3BD9" w:rsidRDefault="001D3BD9" w:rsidP="00A00E39">
      <w:pPr>
        <w:rPr>
          <w:lang w:val="en-US"/>
        </w:rPr>
      </w:pPr>
    </w:p>
    <w:p w14:paraId="478F2D94" w14:textId="076867C1" w:rsidR="001D3BD9" w:rsidRDefault="002D7699" w:rsidP="001D3BD9">
      <w:pPr>
        <w:keepNext/>
        <w:jc w:val="center"/>
      </w:pPr>
      <w:r>
        <w:rPr>
          <w:lang w:val="en-US"/>
        </w:rPr>
        <w:object w:dxaOrig="23756" w:dyaOrig="6596" w14:anchorId="2F9313C9">
          <v:shape id="_x0000_i1027" type="#_x0000_t75" style="width:482.25pt;height:129.75pt" o:ole="">
            <v:imagedata r:id="rId11" o:title=""/>
          </v:shape>
          <o:OLEObject Type="Embed" ProgID="Visio.Drawing.15" ShapeID="_x0000_i1027" DrawAspect="Content" ObjectID="_1539800874" r:id="rId12"/>
        </w:object>
      </w:r>
    </w:p>
    <w:p w14:paraId="3C407489" w14:textId="70323BB4" w:rsidR="001D3BD9" w:rsidRDefault="001D3BD9" w:rsidP="001D3BD9">
      <w:pPr>
        <w:pStyle w:val="Caption"/>
        <w:rPr>
          <w:lang w:val="en-US"/>
        </w:rPr>
      </w:pPr>
      <w:bookmarkStart w:id="5" w:name="_Ref465861402"/>
      <w:r>
        <w:t xml:space="preserve">Figure </w:t>
      </w:r>
      <w:r>
        <w:fldChar w:fldCharType="begin"/>
      </w:r>
      <w:r>
        <w:instrText xml:space="preserve"> SEQ Figure \* ARABIC </w:instrText>
      </w:r>
      <w:r>
        <w:fldChar w:fldCharType="separate"/>
      </w:r>
      <w:r w:rsidR="007F3383">
        <w:rPr>
          <w:noProof/>
        </w:rPr>
        <w:t>3</w:t>
      </w:r>
      <w:r>
        <w:fldChar w:fldCharType="end"/>
      </w:r>
      <w:bookmarkEnd w:id="5"/>
      <w:r>
        <w:t xml:space="preserve">. Association vs. Post-Association SINR </w:t>
      </w:r>
    </w:p>
    <w:p w14:paraId="32627EF6" w14:textId="77777777" w:rsidR="001D3BD9" w:rsidRDefault="001D3BD9" w:rsidP="001D3BD9">
      <w:pPr>
        <w:jc w:val="center"/>
        <w:rPr>
          <w:lang w:val="en-US"/>
        </w:rPr>
      </w:pPr>
    </w:p>
    <w:p w14:paraId="21BAF884" w14:textId="3FA5AB4D" w:rsidR="007263A7" w:rsidRDefault="007263A7" w:rsidP="00A114B8">
      <w:pPr>
        <w:pStyle w:val="Caption"/>
        <w:keepNext/>
      </w:pPr>
      <w:bookmarkStart w:id="6" w:name="_Ref465938445"/>
      <w:r>
        <w:t xml:space="preserve">Table </w:t>
      </w:r>
      <w:r>
        <w:fldChar w:fldCharType="begin"/>
      </w:r>
      <w:r>
        <w:instrText xml:space="preserve"> SEQ Table \* ARABIC </w:instrText>
      </w:r>
      <w:r>
        <w:fldChar w:fldCharType="separate"/>
      </w:r>
      <w:r w:rsidR="007F3383">
        <w:rPr>
          <w:noProof/>
        </w:rPr>
        <w:t>1</w:t>
      </w:r>
      <w:r>
        <w:fldChar w:fldCharType="end"/>
      </w:r>
      <w:bookmarkEnd w:id="6"/>
      <w:r>
        <w:t xml:space="preserve">. SINR Delta (Post Association – Association) Percentiles for </w:t>
      </w:r>
      <w:r>
        <w:fldChar w:fldCharType="begin"/>
      </w:r>
      <w:r>
        <w:instrText xml:space="preserve"> REF _Ref465861402 \h </w:instrText>
      </w:r>
      <w:r>
        <w:fldChar w:fldCharType="separate"/>
      </w:r>
      <w:r w:rsidR="007F3383">
        <w:t xml:space="preserve">Figure </w:t>
      </w:r>
      <w:r w:rsidR="007F3383">
        <w:rPr>
          <w:noProof/>
        </w:rPr>
        <w:t>3</w:t>
      </w:r>
      <w:r>
        <w:fldChar w:fldCharType="end"/>
      </w:r>
      <w:r>
        <w:t xml:space="preserve"> </w:t>
      </w:r>
    </w:p>
    <w:tbl>
      <w:tblPr>
        <w:tblStyle w:val="TableGrid"/>
        <w:tblW w:w="0" w:type="auto"/>
        <w:jc w:val="center"/>
        <w:tblLook w:val="04A0" w:firstRow="1" w:lastRow="0" w:firstColumn="1" w:lastColumn="0" w:noHBand="0" w:noVBand="1"/>
      </w:tblPr>
      <w:tblGrid>
        <w:gridCol w:w="1268"/>
        <w:gridCol w:w="602"/>
        <w:gridCol w:w="693"/>
        <w:gridCol w:w="691"/>
        <w:gridCol w:w="601"/>
        <w:gridCol w:w="692"/>
        <w:gridCol w:w="692"/>
      </w:tblGrid>
      <w:tr w:rsidR="0037642A" w14:paraId="1585C3ED" w14:textId="77777777" w:rsidTr="00A114B8">
        <w:trPr>
          <w:jc w:val="center"/>
        </w:trPr>
        <w:tc>
          <w:tcPr>
            <w:tcW w:w="3254" w:type="dxa"/>
            <w:gridSpan w:val="4"/>
            <w:tcBorders>
              <w:top w:val="single" w:sz="12" w:space="0" w:color="auto"/>
              <w:left w:val="single" w:sz="12" w:space="0" w:color="auto"/>
              <w:bottom w:val="single" w:sz="12" w:space="0" w:color="auto"/>
              <w:right w:val="single" w:sz="12" w:space="0" w:color="auto"/>
            </w:tcBorders>
          </w:tcPr>
          <w:p w14:paraId="381C153A" w14:textId="6E1CD658" w:rsidR="0037642A" w:rsidRPr="00E10BCA" w:rsidRDefault="0037642A" w:rsidP="007F0BD4">
            <w:pPr>
              <w:jc w:val="center"/>
              <w:rPr>
                <w:b/>
                <w:szCs w:val="22"/>
              </w:rPr>
            </w:pPr>
            <w:r>
              <w:rPr>
                <w:b/>
                <w:szCs w:val="22"/>
              </w:rPr>
              <w:t>Uniformly Distributed UEs</w:t>
            </w:r>
          </w:p>
        </w:tc>
        <w:tc>
          <w:tcPr>
            <w:tcW w:w="1985" w:type="dxa"/>
            <w:gridSpan w:val="3"/>
            <w:tcBorders>
              <w:top w:val="single" w:sz="12" w:space="0" w:color="auto"/>
              <w:left w:val="single" w:sz="12" w:space="0" w:color="auto"/>
              <w:bottom w:val="single" w:sz="12" w:space="0" w:color="auto"/>
              <w:right w:val="single" w:sz="12" w:space="0" w:color="auto"/>
            </w:tcBorders>
          </w:tcPr>
          <w:p w14:paraId="28671462" w14:textId="52297219" w:rsidR="0037642A" w:rsidRPr="00E10BCA" w:rsidRDefault="0037642A" w:rsidP="007F0BD4">
            <w:pPr>
              <w:jc w:val="center"/>
              <w:rPr>
                <w:b/>
                <w:szCs w:val="22"/>
              </w:rPr>
            </w:pPr>
            <w:r>
              <w:rPr>
                <w:b/>
                <w:szCs w:val="22"/>
              </w:rPr>
              <w:t>Non-Uniformly Distributed UEs</w:t>
            </w:r>
          </w:p>
        </w:tc>
      </w:tr>
      <w:tr w:rsidR="0037642A" w14:paraId="3D29E39E" w14:textId="77777777" w:rsidTr="00A114B8">
        <w:trPr>
          <w:jc w:val="center"/>
        </w:trPr>
        <w:tc>
          <w:tcPr>
            <w:tcW w:w="1268" w:type="dxa"/>
            <w:tcBorders>
              <w:top w:val="single" w:sz="12" w:space="0" w:color="auto"/>
              <w:left w:val="single" w:sz="12" w:space="0" w:color="auto"/>
              <w:bottom w:val="single" w:sz="12" w:space="0" w:color="auto"/>
              <w:right w:val="single" w:sz="12" w:space="0" w:color="auto"/>
            </w:tcBorders>
          </w:tcPr>
          <w:p w14:paraId="47BA2A26" w14:textId="1222E135" w:rsidR="0037642A" w:rsidRPr="00E10BCA" w:rsidRDefault="0037642A" w:rsidP="007F0BD4">
            <w:pPr>
              <w:jc w:val="center"/>
              <w:rPr>
                <w:b/>
                <w:szCs w:val="22"/>
              </w:rPr>
            </w:pPr>
            <w:r>
              <w:rPr>
                <w:b/>
                <w:szCs w:val="22"/>
              </w:rPr>
              <w:t>UEs/Sector</w:t>
            </w:r>
          </w:p>
        </w:tc>
        <w:tc>
          <w:tcPr>
            <w:tcW w:w="602" w:type="dxa"/>
            <w:tcBorders>
              <w:top w:val="single" w:sz="12" w:space="0" w:color="auto"/>
              <w:left w:val="single" w:sz="12" w:space="0" w:color="auto"/>
              <w:bottom w:val="single" w:sz="12" w:space="0" w:color="auto"/>
              <w:right w:val="single" w:sz="12" w:space="0" w:color="auto"/>
            </w:tcBorders>
          </w:tcPr>
          <w:p w14:paraId="4BEFBF7B" w14:textId="606E7E5C" w:rsidR="0037642A" w:rsidRDefault="0037642A" w:rsidP="007F0BD4">
            <w:pPr>
              <w:jc w:val="center"/>
              <w:rPr>
                <w:b/>
                <w:szCs w:val="22"/>
              </w:rPr>
            </w:pPr>
            <w:r>
              <w:rPr>
                <w:b/>
                <w:szCs w:val="22"/>
              </w:rPr>
              <w:t>4</w:t>
            </w:r>
          </w:p>
        </w:tc>
        <w:tc>
          <w:tcPr>
            <w:tcW w:w="693" w:type="dxa"/>
            <w:tcBorders>
              <w:top w:val="single" w:sz="12" w:space="0" w:color="auto"/>
              <w:left w:val="single" w:sz="12" w:space="0" w:color="auto"/>
              <w:bottom w:val="single" w:sz="12" w:space="0" w:color="auto"/>
              <w:right w:val="single" w:sz="12" w:space="0" w:color="auto"/>
            </w:tcBorders>
          </w:tcPr>
          <w:p w14:paraId="4791BD0E" w14:textId="36AE1F21" w:rsidR="0037642A" w:rsidRPr="00E10BCA" w:rsidRDefault="0037642A" w:rsidP="007F0BD4">
            <w:pPr>
              <w:jc w:val="center"/>
              <w:rPr>
                <w:b/>
                <w:szCs w:val="22"/>
              </w:rPr>
            </w:pPr>
            <w:r>
              <w:rPr>
                <w:b/>
                <w:szCs w:val="22"/>
              </w:rPr>
              <w:t>10</w:t>
            </w:r>
          </w:p>
        </w:tc>
        <w:tc>
          <w:tcPr>
            <w:tcW w:w="691" w:type="dxa"/>
            <w:tcBorders>
              <w:top w:val="single" w:sz="12" w:space="0" w:color="auto"/>
              <w:left w:val="single" w:sz="12" w:space="0" w:color="auto"/>
              <w:bottom w:val="single" w:sz="12" w:space="0" w:color="auto"/>
              <w:right w:val="single" w:sz="12" w:space="0" w:color="auto"/>
            </w:tcBorders>
          </w:tcPr>
          <w:p w14:paraId="3D0EA717" w14:textId="3078B709" w:rsidR="0037642A" w:rsidRPr="00E10BCA" w:rsidRDefault="0037642A" w:rsidP="007F0BD4">
            <w:pPr>
              <w:jc w:val="center"/>
              <w:rPr>
                <w:b/>
                <w:szCs w:val="22"/>
              </w:rPr>
            </w:pPr>
            <w:r>
              <w:rPr>
                <w:b/>
                <w:szCs w:val="22"/>
              </w:rPr>
              <w:t>20</w:t>
            </w:r>
          </w:p>
        </w:tc>
        <w:tc>
          <w:tcPr>
            <w:tcW w:w="601" w:type="dxa"/>
            <w:tcBorders>
              <w:top w:val="single" w:sz="12" w:space="0" w:color="auto"/>
              <w:left w:val="single" w:sz="12" w:space="0" w:color="auto"/>
              <w:bottom w:val="single" w:sz="12" w:space="0" w:color="auto"/>
              <w:right w:val="single" w:sz="12" w:space="0" w:color="auto"/>
            </w:tcBorders>
          </w:tcPr>
          <w:p w14:paraId="61C10FE8" w14:textId="23BD6AAB" w:rsidR="0037642A" w:rsidRDefault="0037642A" w:rsidP="007F0BD4">
            <w:pPr>
              <w:jc w:val="center"/>
              <w:rPr>
                <w:b/>
                <w:szCs w:val="22"/>
              </w:rPr>
            </w:pPr>
            <w:r>
              <w:rPr>
                <w:b/>
                <w:szCs w:val="22"/>
              </w:rPr>
              <w:t>4</w:t>
            </w:r>
          </w:p>
        </w:tc>
        <w:tc>
          <w:tcPr>
            <w:tcW w:w="692" w:type="dxa"/>
            <w:tcBorders>
              <w:top w:val="single" w:sz="12" w:space="0" w:color="auto"/>
              <w:left w:val="single" w:sz="12" w:space="0" w:color="auto"/>
              <w:bottom w:val="single" w:sz="12" w:space="0" w:color="auto"/>
              <w:right w:val="single" w:sz="12" w:space="0" w:color="auto"/>
            </w:tcBorders>
          </w:tcPr>
          <w:p w14:paraId="468C2068" w14:textId="28E59785" w:rsidR="0037642A" w:rsidRPr="00E10BCA" w:rsidRDefault="0037642A" w:rsidP="007F0BD4">
            <w:pPr>
              <w:jc w:val="center"/>
              <w:rPr>
                <w:b/>
                <w:szCs w:val="22"/>
              </w:rPr>
            </w:pPr>
            <w:r>
              <w:rPr>
                <w:b/>
                <w:szCs w:val="22"/>
              </w:rPr>
              <w:t>10</w:t>
            </w:r>
          </w:p>
        </w:tc>
        <w:tc>
          <w:tcPr>
            <w:tcW w:w="692" w:type="dxa"/>
            <w:tcBorders>
              <w:top w:val="single" w:sz="12" w:space="0" w:color="auto"/>
              <w:left w:val="single" w:sz="12" w:space="0" w:color="auto"/>
              <w:bottom w:val="single" w:sz="12" w:space="0" w:color="auto"/>
              <w:right w:val="single" w:sz="12" w:space="0" w:color="auto"/>
            </w:tcBorders>
          </w:tcPr>
          <w:p w14:paraId="08C4098E" w14:textId="14879F76" w:rsidR="0037642A" w:rsidRPr="00E10BCA" w:rsidRDefault="0037642A" w:rsidP="007F0BD4">
            <w:pPr>
              <w:jc w:val="center"/>
              <w:rPr>
                <w:b/>
                <w:szCs w:val="22"/>
              </w:rPr>
            </w:pPr>
            <w:r>
              <w:rPr>
                <w:b/>
                <w:szCs w:val="22"/>
              </w:rPr>
              <w:t>20</w:t>
            </w:r>
          </w:p>
        </w:tc>
      </w:tr>
      <w:tr w:rsidR="0037642A" w14:paraId="413AF250" w14:textId="77777777" w:rsidTr="00A114B8">
        <w:trPr>
          <w:jc w:val="center"/>
        </w:trPr>
        <w:tc>
          <w:tcPr>
            <w:tcW w:w="1268" w:type="dxa"/>
            <w:tcBorders>
              <w:top w:val="single" w:sz="12" w:space="0" w:color="auto"/>
              <w:left w:val="single" w:sz="12" w:space="0" w:color="auto"/>
              <w:bottom w:val="single" w:sz="12" w:space="0" w:color="auto"/>
              <w:right w:val="single" w:sz="12" w:space="0" w:color="auto"/>
            </w:tcBorders>
          </w:tcPr>
          <w:p w14:paraId="0B0E03F0" w14:textId="77777777" w:rsidR="0037642A" w:rsidRPr="00E10BCA" w:rsidRDefault="0037642A" w:rsidP="007F0BD4">
            <w:pPr>
              <w:jc w:val="center"/>
              <w:rPr>
                <w:b/>
                <w:szCs w:val="22"/>
              </w:rPr>
            </w:pPr>
            <w:r w:rsidRPr="00E10BCA">
              <w:rPr>
                <w:b/>
                <w:szCs w:val="22"/>
              </w:rPr>
              <w:t>10%</w:t>
            </w:r>
          </w:p>
        </w:tc>
        <w:tc>
          <w:tcPr>
            <w:tcW w:w="602" w:type="dxa"/>
            <w:tcBorders>
              <w:top w:val="single" w:sz="12" w:space="0" w:color="auto"/>
              <w:left w:val="single" w:sz="12" w:space="0" w:color="auto"/>
              <w:right w:val="single" w:sz="8" w:space="0" w:color="000000"/>
            </w:tcBorders>
          </w:tcPr>
          <w:p w14:paraId="33B9B201" w14:textId="37975B4F" w:rsidR="0037642A" w:rsidRPr="000A7F52" w:rsidRDefault="007263A7" w:rsidP="007F0BD4">
            <w:pPr>
              <w:jc w:val="center"/>
              <w:rPr>
                <w:szCs w:val="22"/>
              </w:rPr>
            </w:pPr>
            <w:r>
              <w:rPr>
                <w:szCs w:val="22"/>
              </w:rPr>
              <w:t>4.5</w:t>
            </w:r>
          </w:p>
        </w:tc>
        <w:tc>
          <w:tcPr>
            <w:tcW w:w="693" w:type="dxa"/>
            <w:tcBorders>
              <w:top w:val="single" w:sz="12" w:space="0" w:color="auto"/>
              <w:left w:val="single" w:sz="8" w:space="0" w:color="000000"/>
            </w:tcBorders>
          </w:tcPr>
          <w:p w14:paraId="75EEA375" w14:textId="479F7AAD" w:rsidR="0037642A" w:rsidRPr="000A7F52" w:rsidRDefault="007263A7">
            <w:pPr>
              <w:jc w:val="center"/>
              <w:rPr>
                <w:szCs w:val="22"/>
              </w:rPr>
            </w:pPr>
            <w:r>
              <w:rPr>
                <w:szCs w:val="22"/>
              </w:rPr>
              <w:t>2.2</w:t>
            </w:r>
          </w:p>
        </w:tc>
        <w:tc>
          <w:tcPr>
            <w:tcW w:w="691" w:type="dxa"/>
            <w:tcBorders>
              <w:top w:val="single" w:sz="12" w:space="0" w:color="auto"/>
            </w:tcBorders>
          </w:tcPr>
          <w:p w14:paraId="5F01AA33" w14:textId="54EA73F2" w:rsidR="0037642A" w:rsidRPr="000A7F52" w:rsidRDefault="007263A7" w:rsidP="007F0BD4">
            <w:pPr>
              <w:jc w:val="center"/>
              <w:rPr>
                <w:szCs w:val="22"/>
              </w:rPr>
            </w:pPr>
            <w:r>
              <w:rPr>
                <w:szCs w:val="22"/>
              </w:rPr>
              <w:t>1.3</w:t>
            </w:r>
          </w:p>
        </w:tc>
        <w:tc>
          <w:tcPr>
            <w:tcW w:w="601" w:type="dxa"/>
            <w:tcBorders>
              <w:top w:val="single" w:sz="12" w:space="0" w:color="auto"/>
              <w:left w:val="single" w:sz="12" w:space="0" w:color="000000"/>
            </w:tcBorders>
          </w:tcPr>
          <w:p w14:paraId="3FB23191" w14:textId="2C2799D6" w:rsidR="0037642A" w:rsidRDefault="007263A7" w:rsidP="007F0BD4">
            <w:pPr>
              <w:jc w:val="center"/>
              <w:rPr>
                <w:szCs w:val="22"/>
              </w:rPr>
            </w:pPr>
            <w:r>
              <w:rPr>
                <w:szCs w:val="22"/>
              </w:rPr>
              <w:t>7.8</w:t>
            </w:r>
          </w:p>
        </w:tc>
        <w:tc>
          <w:tcPr>
            <w:tcW w:w="692" w:type="dxa"/>
            <w:tcBorders>
              <w:top w:val="single" w:sz="12" w:space="0" w:color="auto"/>
            </w:tcBorders>
          </w:tcPr>
          <w:p w14:paraId="3224596C" w14:textId="56F9E9E5" w:rsidR="0037642A" w:rsidRPr="000A7F52" w:rsidRDefault="007263A7" w:rsidP="007F0BD4">
            <w:pPr>
              <w:jc w:val="center"/>
              <w:rPr>
                <w:szCs w:val="22"/>
              </w:rPr>
            </w:pPr>
            <w:r>
              <w:rPr>
                <w:szCs w:val="22"/>
              </w:rPr>
              <w:t>5.3</w:t>
            </w:r>
          </w:p>
        </w:tc>
        <w:tc>
          <w:tcPr>
            <w:tcW w:w="692" w:type="dxa"/>
            <w:tcBorders>
              <w:top w:val="single" w:sz="12" w:space="0" w:color="auto"/>
              <w:right w:val="single" w:sz="12" w:space="0" w:color="000000"/>
            </w:tcBorders>
          </w:tcPr>
          <w:p w14:paraId="37876498" w14:textId="205097BE" w:rsidR="0037642A" w:rsidRPr="000A7F52" w:rsidRDefault="007263A7" w:rsidP="007F0BD4">
            <w:pPr>
              <w:jc w:val="center"/>
              <w:rPr>
                <w:szCs w:val="22"/>
              </w:rPr>
            </w:pPr>
            <w:r>
              <w:rPr>
                <w:szCs w:val="22"/>
              </w:rPr>
              <w:t>3.9</w:t>
            </w:r>
          </w:p>
        </w:tc>
      </w:tr>
      <w:tr w:rsidR="0037642A" w14:paraId="339473ED" w14:textId="77777777" w:rsidTr="00A114B8">
        <w:trPr>
          <w:jc w:val="center"/>
        </w:trPr>
        <w:tc>
          <w:tcPr>
            <w:tcW w:w="1268" w:type="dxa"/>
            <w:tcBorders>
              <w:top w:val="single" w:sz="12" w:space="0" w:color="auto"/>
              <w:left w:val="single" w:sz="12" w:space="0" w:color="auto"/>
              <w:bottom w:val="single" w:sz="12" w:space="0" w:color="auto"/>
              <w:right w:val="single" w:sz="12" w:space="0" w:color="auto"/>
            </w:tcBorders>
          </w:tcPr>
          <w:p w14:paraId="0D6EBD75" w14:textId="77777777" w:rsidR="0037642A" w:rsidRPr="00E10BCA" w:rsidRDefault="0037642A" w:rsidP="007F0BD4">
            <w:pPr>
              <w:jc w:val="center"/>
              <w:rPr>
                <w:b/>
                <w:szCs w:val="22"/>
              </w:rPr>
            </w:pPr>
            <w:r w:rsidRPr="00E10BCA">
              <w:rPr>
                <w:b/>
                <w:szCs w:val="22"/>
              </w:rPr>
              <w:t>50%</w:t>
            </w:r>
          </w:p>
        </w:tc>
        <w:tc>
          <w:tcPr>
            <w:tcW w:w="602" w:type="dxa"/>
            <w:tcBorders>
              <w:left w:val="single" w:sz="12" w:space="0" w:color="auto"/>
              <w:right w:val="single" w:sz="8" w:space="0" w:color="000000"/>
            </w:tcBorders>
          </w:tcPr>
          <w:p w14:paraId="6C66F589" w14:textId="06B33DE8" w:rsidR="0037642A" w:rsidRDefault="007263A7" w:rsidP="007F0BD4">
            <w:pPr>
              <w:jc w:val="center"/>
              <w:rPr>
                <w:szCs w:val="22"/>
              </w:rPr>
            </w:pPr>
            <w:r>
              <w:rPr>
                <w:szCs w:val="22"/>
              </w:rPr>
              <w:t>9.0</w:t>
            </w:r>
          </w:p>
        </w:tc>
        <w:tc>
          <w:tcPr>
            <w:tcW w:w="693" w:type="dxa"/>
            <w:tcBorders>
              <w:left w:val="single" w:sz="8" w:space="0" w:color="000000"/>
            </w:tcBorders>
          </w:tcPr>
          <w:p w14:paraId="44E68646" w14:textId="21B35A31" w:rsidR="0037642A" w:rsidRPr="000A7F52" w:rsidRDefault="007263A7" w:rsidP="007F0BD4">
            <w:pPr>
              <w:jc w:val="center"/>
              <w:rPr>
                <w:szCs w:val="22"/>
              </w:rPr>
            </w:pPr>
            <w:r>
              <w:rPr>
                <w:szCs w:val="22"/>
              </w:rPr>
              <w:t>4.0</w:t>
            </w:r>
          </w:p>
        </w:tc>
        <w:tc>
          <w:tcPr>
            <w:tcW w:w="691" w:type="dxa"/>
          </w:tcPr>
          <w:p w14:paraId="5ABA0EDC" w14:textId="74640F00" w:rsidR="0037642A" w:rsidRPr="000A7F52" w:rsidRDefault="007263A7" w:rsidP="007F0BD4">
            <w:pPr>
              <w:jc w:val="center"/>
              <w:rPr>
                <w:szCs w:val="22"/>
              </w:rPr>
            </w:pPr>
            <w:r>
              <w:rPr>
                <w:szCs w:val="22"/>
              </w:rPr>
              <w:t>1.9</w:t>
            </w:r>
          </w:p>
        </w:tc>
        <w:tc>
          <w:tcPr>
            <w:tcW w:w="601" w:type="dxa"/>
            <w:tcBorders>
              <w:left w:val="single" w:sz="12" w:space="0" w:color="000000"/>
            </w:tcBorders>
          </w:tcPr>
          <w:p w14:paraId="1DDD0E44" w14:textId="337B55D5" w:rsidR="0037642A" w:rsidRDefault="007263A7" w:rsidP="007F0BD4">
            <w:pPr>
              <w:jc w:val="center"/>
              <w:rPr>
                <w:szCs w:val="22"/>
              </w:rPr>
            </w:pPr>
            <w:r>
              <w:rPr>
                <w:szCs w:val="22"/>
              </w:rPr>
              <w:t>12.9</w:t>
            </w:r>
          </w:p>
        </w:tc>
        <w:tc>
          <w:tcPr>
            <w:tcW w:w="692" w:type="dxa"/>
          </w:tcPr>
          <w:p w14:paraId="4478F5E8" w14:textId="5A44F87E" w:rsidR="0037642A" w:rsidRPr="000A7F52" w:rsidRDefault="007263A7" w:rsidP="007F0BD4">
            <w:pPr>
              <w:jc w:val="center"/>
              <w:rPr>
                <w:szCs w:val="22"/>
              </w:rPr>
            </w:pPr>
            <w:r>
              <w:rPr>
                <w:szCs w:val="22"/>
              </w:rPr>
              <w:t>9.0</w:t>
            </w:r>
          </w:p>
        </w:tc>
        <w:tc>
          <w:tcPr>
            <w:tcW w:w="692" w:type="dxa"/>
            <w:tcBorders>
              <w:right w:val="single" w:sz="12" w:space="0" w:color="000000"/>
            </w:tcBorders>
          </w:tcPr>
          <w:p w14:paraId="6F7EAFC0" w14:textId="7ECB9E48" w:rsidR="0037642A" w:rsidRPr="000A7F52" w:rsidRDefault="007263A7" w:rsidP="007F0BD4">
            <w:pPr>
              <w:jc w:val="center"/>
              <w:rPr>
                <w:szCs w:val="22"/>
              </w:rPr>
            </w:pPr>
            <w:r>
              <w:rPr>
                <w:szCs w:val="22"/>
              </w:rPr>
              <w:t>6.0</w:t>
            </w:r>
          </w:p>
        </w:tc>
      </w:tr>
      <w:tr w:rsidR="0037642A" w14:paraId="2BD6A848" w14:textId="77777777" w:rsidTr="00A114B8">
        <w:trPr>
          <w:jc w:val="center"/>
        </w:trPr>
        <w:tc>
          <w:tcPr>
            <w:tcW w:w="1268" w:type="dxa"/>
            <w:tcBorders>
              <w:top w:val="single" w:sz="12" w:space="0" w:color="auto"/>
              <w:left w:val="single" w:sz="12" w:space="0" w:color="auto"/>
              <w:bottom w:val="single" w:sz="12" w:space="0" w:color="auto"/>
              <w:right w:val="single" w:sz="12" w:space="0" w:color="auto"/>
            </w:tcBorders>
          </w:tcPr>
          <w:p w14:paraId="61300DEF" w14:textId="77777777" w:rsidR="0037642A" w:rsidRPr="00E10BCA" w:rsidRDefault="0037642A" w:rsidP="007F0BD4">
            <w:pPr>
              <w:jc w:val="center"/>
              <w:rPr>
                <w:b/>
                <w:szCs w:val="22"/>
              </w:rPr>
            </w:pPr>
            <w:r w:rsidRPr="00E10BCA">
              <w:rPr>
                <w:b/>
                <w:szCs w:val="22"/>
              </w:rPr>
              <w:t>90%</w:t>
            </w:r>
          </w:p>
        </w:tc>
        <w:tc>
          <w:tcPr>
            <w:tcW w:w="602" w:type="dxa"/>
            <w:tcBorders>
              <w:left w:val="single" w:sz="12" w:space="0" w:color="auto"/>
              <w:right w:val="single" w:sz="8" w:space="0" w:color="000000"/>
            </w:tcBorders>
          </w:tcPr>
          <w:p w14:paraId="0B936491" w14:textId="3D2377E6" w:rsidR="0037642A" w:rsidRDefault="007263A7" w:rsidP="007F0BD4">
            <w:pPr>
              <w:jc w:val="center"/>
              <w:rPr>
                <w:szCs w:val="22"/>
              </w:rPr>
            </w:pPr>
            <w:r>
              <w:rPr>
                <w:szCs w:val="22"/>
              </w:rPr>
              <w:t>21.2</w:t>
            </w:r>
          </w:p>
        </w:tc>
        <w:tc>
          <w:tcPr>
            <w:tcW w:w="693" w:type="dxa"/>
            <w:tcBorders>
              <w:left w:val="single" w:sz="8" w:space="0" w:color="000000"/>
            </w:tcBorders>
          </w:tcPr>
          <w:p w14:paraId="3085C0E1" w14:textId="77DB0952" w:rsidR="0037642A" w:rsidRPr="000A7F52" w:rsidRDefault="007263A7" w:rsidP="007F0BD4">
            <w:pPr>
              <w:jc w:val="center"/>
              <w:rPr>
                <w:szCs w:val="22"/>
              </w:rPr>
            </w:pPr>
            <w:r>
              <w:rPr>
                <w:szCs w:val="22"/>
              </w:rPr>
              <w:t>8.0</w:t>
            </w:r>
          </w:p>
        </w:tc>
        <w:tc>
          <w:tcPr>
            <w:tcW w:w="691" w:type="dxa"/>
          </w:tcPr>
          <w:p w14:paraId="1645460B" w14:textId="3A3C6A71" w:rsidR="0037642A" w:rsidRPr="000A7F52" w:rsidRDefault="007263A7" w:rsidP="007F0BD4">
            <w:pPr>
              <w:jc w:val="center"/>
              <w:rPr>
                <w:szCs w:val="22"/>
              </w:rPr>
            </w:pPr>
            <w:r>
              <w:rPr>
                <w:szCs w:val="22"/>
              </w:rPr>
              <w:t>2.0</w:t>
            </w:r>
          </w:p>
        </w:tc>
        <w:tc>
          <w:tcPr>
            <w:tcW w:w="601" w:type="dxa"/>
            <w:tcBorders>
              <w:left w:val="single" w:sz="12" w:space="0" w:color="000000"/>
            </w:tcBorders>
          </w:tcPr>
          <w:p w14:paraId="127FC593" w14:textId="46A4A991" w:rsidR="0037642A" w:rsidRDefault="007263A7" w:rsidP="007F0BD4">
            <w:pPr>
              <w:jc w:val="center"/>
              <w:rPr>
                <w:szCs w:val="22"/>
              </w:rPr>
            </w:pPr>
            <w:r>
              <w:rPr>
                <w:szCs w:val="22"/>
              </w:rPr>
              <w:t>28.3</w:t>
            </w:r>
          </w:p>
        </w:tc>
        <w:tc>
          <w:tcPr>
            <w:tcW w:w="692" w:type="dxa"/>
          </w:tcPr>
          <w:p w14:paraId="4ACB5552" w14:textId="36547E88" w:rsidR="0037642A" w:rsidRPr="000A7F52" w:rsidRDefault="007263A7" w:rsidP="007F0BD4">
            <w:pPr>
              <w:jc w:val="center"/>
              <w:rPr>
                <w:szCs w:val="22"/>
              </w:rPr>
            </w:pPr>
            <w:r>
              <w:rPr>
                <w:szCs w:val="22"/>
              </w:rPr>
              <w:t>18.2</w:t>
            </w:r>
          </w:p>
        </w:tc>
        <w:tc>
          <w:tcPr>
            <w:tcW w:w="692" w:type="dxa"/>
            <w:tcBorders>
              <w:right w:val="single" w:sz="12" w:space="0" w:color="000000"/>
            </w:tcBorders>
          </w:tcPr>
          <w:p w14:paraId="7594F81D" w14:textId="716FB23C" w:rsidR="0037642A" w:rsidRPr="000A7F52" w:rsidRDefault="007263A7" w:rsidP="007F0BD4">
            <w:pPr>
              <w:jc w:val="center"/>
              <w:rPr>
                <w:szCs w:val="22"/>
              </w:rPr>
            </w:pPr>
            <w:r>
              <w:rPr>
                <w:szCs w:val="22"/>
              </w:rPr>
              <w:t>10.6</w:t>
            </w:r>
          </w:p>
        </w:tc>
      </w:tr>
      <w:tr w:rsidR="0037642A" w14:paraId="0B0BCB04" w14:textId="77777777" w:rsidTr="00A114B8">
        <w:trPr>
          <w:jc w:val="center"/>
        </w:trPr>
        <w:tc>
          <w:tcPr>
            <w:tcW w:w="1268" w:type="dxa"/>
            <w:tcBorders>
              <w:top w:val="single" w:sz="12" w:space="0" w:color="auto"/>
              <w:left w:val="single" w:sz="12" w:space="0" w:color="auto"/>
              <w:bottom w:val="single" w:sz="12" w:space="0" w:color="auto"/>
              <w:right w:val="single" w:sz="12" w:space="0" w:color="auto"/>
            </w:tcBorders>
          </w:tcPr>
          <w:p w14:paraId="65028EC5" w14:textId="77777777" w:rsidR="0037642A" w:rsidRPr="00E10BCA" w:rsidRDefault="0037642A" w:rsidP="007F0BD4">
            <w:pPr>
              <w:jc w:val="center"/>
              <w:rPr>
                <w:b/>
                <w:szCs w:val="22"/>
              </w:rPr>
            </w:pPr>
            <w:r w:rsidRPr="00E10BCA">
              <w:rPr>
                <w:b/>
                <w:szCs w:val="22"/>
              </w:rPr>
              <w:t>Mean</w:t>
            </w:r>
          </w:p>
        </w:tc>
        <w:tc>
          <w:tcPr>
            <w:tcW w:w="602" w:type="dxa"/>
            <w:tcBorders>
              <w:left w:val="single" w:sz="12" w:space="0" w:color="auto"/>
              <w:bottom w:val="single" w:sz="12" w:space="0" w:color="000000"/>
              <w:right w:val="single" w:sz="8" w:space="0" w:color="000000"/>
            </w:tcBorders>
          </w:tcPr>
          <w:p w14:paraId="2E2C19BF" w14:textId="0A6ABEB8" w:rsidR="0037642A" w:rsidRPr="00F8172C" w:rsidRDefault="007263A7" w:rsidP="007F0BD4">
            <w:pPr>
              <w:jc w:val="center"/>
              <w:rPr>
                <w:szCs w:val="22"/>
              </w:rPr>
            </w:pPr>
            <w:r>
              <w:rPr>
                <w:szCs w:val="22"/>
              </w:rPr>
              <w:t>11.1</w:t>
            </w:r>
          </w:p>
        </w:tc>
        <w:tc>
          <w:tcPr>
            <w:tcW w:w="693" w:type="dxa"/>
            <w:tcBorders>
              <w:left w:val="single" w:sz="8" w:space="0" w:color="000000"/>
              <w:bottom w:val="single" w:sz="12" w:space="0" w:color="000000"/>
            </w:tcBorders>
          </w:tcPr>
          <w:p w14:paraId="6CE489BA" w14:textId="32394BB2" w:rsidR="0037642A" w:rsidRPr="00F8172C" w:rsidRDefault="007263A7" w:rsidP="007F0BD4">
            <w:pPr>
              <w:jc w:val="center"/>
              <w:rPr>
                <w:szCs w:val="22"/>
              </w:rPr>
            </w:pPr>
            <w:r>
              <w:rPr>
                <w:szCs w:val="22"/>
              </w:rPr>
              <w:t>5.4</w:t>
            </w:r>
          </w:p>
        </w:tc>
        <w:tc>
          <w:tcPr>
            <w:tcW w:w="691" w:type="dxa"/>
            <w:tcBorders>
              <w:bottom w:val="single" w:sz="12" w:space="0" w:color="000000"/>
            </w:tcBorders>
          </w:tcPr>
          <w:p w14:paraId="1684A081" w14:textId="02344BA8" w:rsidR="0037642A" w:rsidRPr="00F8172C" w:rsidRDefault="007263A7" w:rsidP="007F0BD4">
            <w:pPr>
              <w:jc w:val="center"/>
              <w:rPr>
                <w:szCs w:val="22"/>
              </w:rPr>
            </w:pPr>
            <w:r>
              <w:rPr>
                <w:szCs w:val="22"/>
              </w:rPr>
              <w:t>2.5</w:t>
            </w:r>
          </w:p>
        </w:tc>
        <w:tc>
          <w:tcPr>
            <w:tcW w:w="601" w:type="dxa"/>
            <w:tcBorders>
              <w:left w:val="single" w:sz="12" w:space="0" w:color="000000"/>
              <w:bottom w:val="single" w:sz="12" w:space="0" w:color="000000"/>
            </w:tcBorders>
          </w:tcPr>
          <w:p w14:paraId="7978EA75" w14:textId="642B9D68" w:rsidR="0037642A" w:rsidRPr="00F8172C" w:rsidRDefault="007263A7" w:rsidP="007F0BD4">
            <w:pPr>
              <w:jc w:val="center"/>
              <w:rPr>
                <w:szCs w:val="22"/>
              </w:rPr>
            </w:pPr>
            <w:r>
              <w:rPr>
                <w:szCs w:val="22"/>
              </w:rPr>
              <w:t>15.1</w:t>
            </w:r>
          </w:p>
        </w:tc>
        <w:tc>
          <w:tcPr>
            <w:tcW w:w="692" w:type="dxa"/>
            <w:tcBorders>
              <w:bottom w:val="single" w:sz="12" w:space="0" w:color="000000"/>
            </w:tcBorders>
          </w:tcPr>
          <w:p w14:paraId="2EC7852A" w14:textId="2A67AE6F" w:rsidR="0037642A" w:rsidRPr="00F8172C" w:rsidRDefault="007263A7" w:rsidP="007F0BD4">
            <w:pPr>
              <w:jc w:val="center"/>
              <w:rPr>
                <w:szCs w:val="22"/>
              </w:rPr>
            </w:pPr>
            <w:r>
              <w:rPr>
                <w:szCs w:val="22"/>
              </w:rPr>
              <w:t>10.4</w:t>
            </w:r>
          </w:p>
        </w:tc>
        <w:tc>
          <w:tcPr>
            <w:tcW w:w="692" w:type="dxa"/>
            <w:tcBorders>
              <w:bottom w:val="single" w:sz="12" w:space="0" w:color="000000"/>
              <w:right w:val="single" w:sz="12" w:space="0" w:color="000000"/>
            </w:tcBorders>
          </w:tcPr>
          <w:p w14:paraId="374C5D12" w14:textId="7B5CE5F7" w:rsidR="0037642A" w:rsidRPr="00F8172C" w:rsidRDefault="007263A7" w:rsidP="007F0BD4">
            <w:pPr>
              <w:jc w:val="center"/>
              <w:rPr>
                <w:szCs w:val="22"/>
              </w:rPr>
            </w:pPr>
            <w:r>
              <w:rPr>
                <w:szCs w:val="22"/>
              </w:rPr>
              <w:t>7.1</w:t>
            </w:r>
          </w:p>
        </w:tc>
      </w:tr>
    </w:tbl>
    <w:p w14:paraId="0ED18E1B" w14:textId="77777777" w:rsidR="0037642A" w:rsidRDefault="0037642A" w:rsidP="001D3BD9">
      <w:pPr>
        <w:jc w:val="center"/>
        <w:rPr>
          <w:lang w:val="en-US"/>
        </w:rPr>
      </w:pPr>
    </w:p>
    <w:p w14:paraId="18455D61" w14:textId="77777777" w:rsidR="0037642A" w:rsidRDefault="0037642A" w:rsidP="001D3BD9">
      <w:pPr>
        <w:jc w:val="center"/>
        <w:rPr>
          <w:lang w:val="en-US"/>
        </w:rPr>
      </w:pPr>
    </w:p>
    <w:p w14:paraId="39362A4A" w14:textId="23AA7216" w:rsidR="002541A5" w:rsidRPr="00A114B8" w:rsidRDefault="00840375" w:rsidP="00840375">
      <w:pPr>
        <w:rPr>
          <w:i/>
          <w:szCs w:val="22"/>
        </w:rPr>
      </w:pPr>
      <w:r>
        <w:rPr>
          <w:b/>
          <w:i/>
          <w:szCs w:val="22"/>
        </w:rPr>
        <w:t xml:space="preserve">Observation 1: </w:t>
      </w:r>
      <w:r w:rsidRPr="00A114B8">
        <w:rPr>
          <w:i/>
          <w:szCs w:val="22"/>
        </w:rPr>
        <w:t xml:space="preserve">SINR can be improved when </w:t>
      </w:r>
      <w:r w:rsidR="00D35F34">
        <w:rPr>
          <w:i/>
          <w:szCs w:val="22"/>
        </w:rPr>
        <w:t>some allowable</w:t>
      </w:r>
      <w:r w:rsidRPr="00A114B8">
        <w:rPr>
          <w:i/>
          <w:szCs w:val="22"/>
        </w:rPr>
        <w:t xml:space="preserve"> beams are turned off during beam sweep processing.</w:t>
      </w:r>
      <w:r w:rsidR="002541A5" w:rsidRPr="00A114B8">
        <w:rPr>
          <w:i/>
          <w:szCs w:val="22"/>
        </w:rPr>
        <w:t xml:space="preserve"> </w:t>
      </w:r>
    </w:p>
    <w:p w14:paraId="16C6A4A2" w14:textId="7E32D0F9" w:rsidR="00840375" w:rsidRPr="002541A5" w:rsidRDefault="002541A5" w:rsidP="00840375">
      <w:pPr>
        <w:rPr>
          <w:i/>
          <w:szCs w:val="22"/>
        </w:rPr>
      </w:pPr>
      <w:r>
        <w:rPr>
          <w:b/>
          <w:i/>
          <w:szCs w:val="22"/>
        </w:rPr>
        <w:t xml:space="preserve">Observation 2: </w:t>
      </w:r>
      <w:r w:rsidR="006C3256">
        <w:rPr>
          <w:i/>
          <w:szCs w:val="22"/>
        </w:rPr>
        <w:t>Higher</w:t>
      </w:r>
      <w:r w:rsidRPr="00A114B8">
        <w:rPr>
          <w:i/>
          <w:szCs w:val="22"/>
        </w:rPr>
        <w:t xml:space="preserve"> SINR improvement is </w:t>
      </w:r>
      <w:r w:rsidR="004D0B1B" w:rsidRPr="004D0B1B">
        <w:rPr>
          <w:i/>
          <w:szCs w:val="22"/>
        </w:rPr>
        <w:t>achieveable</w:t>
      </w:r>
      <w:r w:rsidRPr="00A114B8">
        <w:rPr>
          <w:i/>
          <w:szCs w:val="22"/>
        </w:rPr>
        <w:t xml:space="preserve"> for small UE population</w:t>
      </w:r>
      <w:r w:rsidR="0023612C">
        <w:rPr>
          <w:i/>
          <w:szCs w:val="22"/>
        </w:rPr>
        <w:t xml:space="preserve"> than large UE population since</w:t>
      </w:r>
      <w:r w:rsidRPr="00A114B8">
        <w:rPr>
          <w:i/>
          <w:szCs w:val="22"/>
        </w:rPr>
        <w:t xml:space="preserve"> more </w:t>
      </w:r>
      <w:r w:rsidR="00D35F34">
        <w:rPr>
          <w:i/>
          <w:szCs w:val="22"/>
        </w:rPr>
        <w:t>allowable</w:t>
      </w:r>
      <w:r w:rsidRPr="00A114B8">
        <w:rPr>
          <w:i/>
          <w:szCs w:val="22"/>
        </w:rPr>
        <w:t xml:space="preserve"> beams may be turned off</w:t>
      </w:r>
      <w:r>
        <w:rPr>
          <w:i/>
          <w:szCs w:val="22"/>
        </w:rPr>
        <w:t xml:space="preserve"> in case </w:t>
      </w:r>
      <w:r w:rsidR="00423AC6">
        <w:rPr>
          <w:i/>
          <w:szCs w:val="22"/>
        </w:rPr>
        <w:t xml:space="preserve">of small </w:t>
      </w:r>
      <w:r w:rsidRPr="00371E4D">
        <w:rPr>
          <w:i/>
          <w:szCs w:val="22"/>
        </w:rPr>
        <w:t>UE population</w:t>
      </w:r>
      <w:r w:rsidRPr="00A114B8">
        <w:rPr>
          <w:i/>
          <w:szCs w:val="22"/>
        </w:rPr>
        <w:t>.</w:t>
      </w:r>
    </w:p>
    <w:p w14:paraId="5DA6AA0D" w14:textId="3BDF9ADE" w:rsidR="00840375" w:rsidRPr="00A114B8" w:rsidRDefault="002541A5" w:rsidP="00840375">
      <w:pPr>
        <w:rPr>
          <w:i/>
          <w:szCs w:val="22"/>
        </w:rPr>
      </w:pPr>
      <w:r>
        <w:rPr>
          <w:b/>
          <w:i/>
          <w:szCs w:val="22"/>
        </w:rPr>
        <w:lastRenderedPageBreak/>
        <w:t xml:space="preserve">Observation 3: </w:t>
      </w:r>
      <w:r w:rsidR="004D0B1B">
        <w:rPr>
          <w:i/>
          <w:szCs w:val="22"/>
        </w:rPr>
        <w:t>Higher</w:t>
      </w:r>
      <w:r w:rsidRPr="00A114B8">
        <w:rPr>
          <w:i/>
          <w:szCs w:val="22"/>
        </w:rPr>
        <w:t xml:space="preserve"> SINR improvement is </w:t>
      </w:r>
      <w:r>
        <w:rPr>
          <w:i/>
          <w:szCs w:val="22"/>
        </w:rPr>
        <w:t>obtainable</w:t>
      </w:r>
      <w:r w:rsidRPr="00A114B8">
        <w:rPr>
          <w:i/>
          <w:szCs w:val="22"/>
        </w:rPr>
        <w:t xml:space="preserve"> for </w:t>
      </w:r>
      <w:r>
        <w:rPr>
          <w:i/>
          <w:szCs w:val="22"/>
        </w:rPr>
        <w:t>non-uniform</w:t>
      </w:r>
      <w:r w:rsidRPr="00A114B8">
        <w:rPr>
          <w:i/>
          <w:szCs w:val="22"/>
        </w:rPr>
        <w:t xml:space="preserve"> UE </w:t>
      </w:r>
      <w:r>
        <w:rPr>
          <w:i/>
          <w:szCs w:val="22"/>
        </w:rPr>
        <w:t>distribution</w:t>
      </w:r>
      <w:r w:rsidRPr="00A114B8">
        <w:rPr>
          <w:i/>
          <w:szCs w:val="22"/>
        </w:rPr>
        <w:t xml:space="preserve"> than </w:t>
      </w:r>
      <w:r>
        <w:rPr>
          <w:i/>
          <w:szCs w:val="22"/>
        </w:rPr>
        <w:t>uniform</w:t>
      </w:r>
      <w:r w:rsidRPr="00A114B8">
        <w:rPr>
          <w:i/>
          <w:szCs w:val="22"/>
        </w:rPr>
        <w:t xml:space="preserve"> UE </w:t>
      </w:r>
      <w:r>
        <w:rPr>
          <w:i/>
          <w:szCs w:val="22"/>
        </w:rPr>
        <w:t>distribution</w:t>
      </w:r>
      <w:r w:rsidR="0023612C">
        <w:rPr>
          <w:i/>
          <w:szCs w:val="22"/>
        </w:rPr>
        <w:t xml:space="preserve"> since</w:t>
      </w:r>
      <w:r w:rsidRPr="00A114B8">
        <w:rPr>
          <w:i/>
          <w:szCs w:val="22"/>
        </w:rPr>
        <w:t xml:space="preserve"> more </w:t>
      </w:r>
      <w:r w:rsidR="00D35F34">
        <w:rPr>
          <w:i/>
          <w:szCs w:val="22"/>
        </w:rPr>
        <w:t>allowable</w:t>
      </w:r>
      <w:r w:rsidRPr="00A114B8">
        <w:rPr>
          <w:i/>
          <w:szCs w:val="22"/>
        </w:rPr>
        <w:t xml:space="preserve"> beams may be turned off</w:t>
      </w:r>
      <w:r>
        <w:rPr>
          <w:i/>
          <w:szCs w:val="22"/>
        </w:rPr>
        <w:t xml:space="preserve"> in case of non-uniform</w:t>
      </w:r>
      <w:r w:rsidRPr="00371E4D">
        <w:rPr>
          <w:i/>
          <w:szCs w:val="22"/>
        </w:rPr>
        <w:t xml:space="preserve"> UE </w:t>
      </w:r>
      <w:r>
        <w:rPr>
          <w:i/>
          <w:szCs w:val="22"/>
        </w:rPr>
        <w:t>distribution</w:t>
      </w:r>
      <w:r w:rsidRPr="002541A5">
        <w:rPr>
          <w:i/>
          <w:szCs w:val="22"/>
        </w:rPr>
        <w:t>.</w:t>
      </w:r>
    </w:p>
    <w:p w14:paraId="07AD6143" w14:textId="77777777" w:rsidR="001D3BD9" w:rsidRDefault="001D3BD9" w:rsidP="001D3BD9">
      <w:pPr>
        <w:jc w:val="center"/>
        <w:rPr>
          <w:lang w:val="en-US"/>
        </w:rPr>
      </w:pPr>
    </w:p>
    <w:p w14:paraId="2178FC2B" w14:textId="77777777" w:rsidR="001D3BD9" w:rsidRDefault="001D3BD9" w:rsidP="001D3BD9">
      <w:pPr>
        <w:jc w:val="center"/>
        <w:rPr>
          <w:lang w:val="en-US"/>
        </w:rPr>
      </w:pPr>
    </w:p>
    <w:p w14:paraId="43961B21" w14:textId="58F8BA74" w:rsidR="002D7699" w:rsidRDefault="00F834CF" w:rsidP="002D7699">
      <w:pPr>
        <w:keepNext/>
        <w:jc w:val="center"/>
      </w:pPr>
      <w:r>
        <w:rPr>
          <w:lang w:val="en-US"/>
        </w:rPr>
        <w:object w:dxaOrig="23871" w:dyaOrig="6551" w14:anchorId="1C898842">
          <v:shape id="_x0000_i1028" type="#_x0000_t75" style="width:474.75pt;height:129.75pt" o:ole="">
            <v:imagedata r:id="rId13" o:title=""/>
          </v:shape>
          <o:OLEObject Type="Embed" ProgID="Visio.Drawing.15" ShapeID="_x0000_i1028" DrawAspect="Content" ObjectID="_1539800875" r:id="rId14"/>
        </w:object>
      </w:r>
    </w:p>
    <w:p w14:paraId="396EB345" w14:textId="5915D506" w:rsidR="001D3BD9" w:rsidRDefault="002D7699" w:rsidP="002D7699">
      <w:pPr>
        <w:pStyle w:val="Caption"/>
        <w:rPr>
          <w:lang w:val="en-US"/>
        </w:rPr>
      </w:pPr>
      <w:bookmarkStart w:id="7" w:name="_Ref465861404"/>
      <w:r>
        <w:t xml:space="preserve">Figure </w:t>
      </w:r>
      <w:r>
        <w:fldChar w:fldCharType="begin"/>
      </w:r>
      <w:r>
        <w:instrText xml:space="preserve"> SEQ Figure \* ARABIC </w:instrText>
      </w:r>
      <w:r>
        <w:fldChar w:fldCharType="separate"/>
      </w:r>
      <w:r w:rsidR="007F3383">
        <w:rPr>
          <w:noProof/>
        </w:rPr>
        <w:t>4</w:t>
      </w:r>
      <w:r>
        <w:fldChar w:fldCharType="end"/>
      </w:r>
      <w:bookmarkEnd w:id="7"/>
      <w:r>
        <w:t xml:space="preserve">. Post Association Percentage of Interfering TRPs </w:t>
      </w:r>
    </w:p>
    <w:p w14:paraId="66E03A00" w14:textId="77777777" w:rsidR="001D3BD9" w:rsidRDefault="001D3BD9" w:rsidP="001D3BD9">
      <w:pPr>
        <w:jc w:val="center"/>
        <w:rPr>
          <w:lang w:val="en-US"/>
        </w:rPr>
      </w:pPr>
    </w:p>
    <w:p w14:paraId="46025440" w14:textId="17F901AD" w:rsidR="00E03C7E" w:rsidRDefault="00E03C7E" w:rsidP="00A114B8">
      <w:pPr>
        <w:pStyle w:val="Caption"/>
        <w:keepNext/>
      </w:pPr>
      <w:bookmarkStart w:id="8" w:name="_Ref465939334"/>
      <w:r>
        <w:t xml:space="preserve">Table </w:t>
      </w:r>
      <w:r>
        <w:fldChar w:fldCharType="begin"/>
      </w:r>
      <w:r>
        <w:instrText xml:space="preserve"> SEQ Table \* ARABIC </w:instrText>
      </w:r>
      <w:r>
        <w:fldChar w:fldCharType="separate"/>
      </w:r>
      <w:r w:rsidR="007F3383">
        <w:rPr>
          <w:noProof/>
        </w:rPr>
        <w:t>2</w:t>
      </w:r>
      <w:r>
        <w:fldChar w:fldCharType="end"/>
      </w:r>
      <w:bookmarkEnd w:id="8"/>
      <w:r>
        <w:t xml:space="preserve">. Percentage of Interfering </w:t>
      </w:r>
      <w:r w:rsidR="006D3446">
        <w:t>TRP</w:t>
      </w:r>
      <w:r>
        <w:t xml:space="preserve">s Percentiles for </w:t>
      </w:r>
      <w:r>
        <w:fldChar w:fldCharType="begin"/>
      </w:r>
      <w:r>
        <w:instrText xml:space="preserve"> REF _Ref465861404 \h </w:instrText>
      </w:r>
      <w:r>
        <w:fldChar w:fldCharType="separate"/>
      </w:r>
      <w:r w:rsidR="007F3383">
        <w:t xml:space="preserve">Figure </w:t>
      </w:r>
      <w:r w:rsidR="007F3383">
        <w:rPr>
          <w:noProof/>
        </w:rPr>
        <w:t>4</w:t>
      </w:r>
      <w:r>
        <w:fldChar w:fldCharType="end"/>
      </w:r>
    </w:p>
    <w:tbl>
      <w:tblPr>
        <w:tblStyle w:val="TableGrid"/>
        <w:tblW w:w="0" w:type="auto"/>
        <w:jc w:val="center"/>
        <w:tblLook w:val="04A0" w:firstRow="1" w:lastRow="0" w:firstColumn="1" w:lastColumn="0" w:noHBand="0" w:noVBand="1"/>
      </w:tblPr>
      <w:tblGrid>
        <w:gridCol w:w="1268"/>
        <w:gridCol w:w="602"/>
        <w:gridCol w:w="693"/>
        <w:gridCol w:w="691"/>
        <w:gridCol w:w="601"/>
        <w:gridCol w:w="692"/>
        <w:gridCol w:w="692"/>
      </w:tblGrid>
      <w:tr w:rsidR="00E03C7E" w14:paraId="775861E9" w14:textId="77777777" w:rsidTr="007F0BD4">
        <w:trPr>
          <w:jc w:val="center"/>
        </w:trPr>
        <w:tc>
          <w:tcPr>
            <w:tcW w:w="3254" w:type="dxa"/>
            <w:gridSpan w:val="4"/>
            <w:tcBorders>
              <w:top w:val="single" w:sz="12" w:space="0" w:color="auto"/>
              <w:left w:val="single" w:sz="12" w:space="0" w:color="auto"/>
              <w:bottom w:val="single" w:sz="12" w:space="0" w:color="auto"/>
              <w:right w:val="single" w:sz="12" w:space="0" w:color="auto"/>
            </w:tcBorders>
          </w:tcPr>
          <w:p w14:paraId="48B8E9BA" w14:textId="77777777" w:rsidR="00E03C7E" w:rsidRPr="00E10BCA" w:rsidRDefault="00E03C7E" w:rsidP="007F0BD4">
            <w:pPr>
              <w:jc w:val="center"/>
              <w:rPr>
                <w:b/>
                <w:szCs w:val="22"/>
              </w:rPr>
            </w:pPr>
            <w:r>
              <w:rPr>
                <w:b/>
                <w:szCs w:val="22"/>
              </w:rPr>
              <w:t>Uniformly Distributed UEs</w:t>
            </w:r>
          </w:p>
        </w:tc>
        <w:tc>
          <w:tcPr>
            <w:tcW w:w="1985" w:type="dxa"/>
            <w:gridSpan w:val="3"/>
            <w:tcBorders>
              <w:top w:val="single" w:sz="12" w:space="0" w:color="auto"/>
              <w:left w:val="single" w:sz="12" w:space="0" w:color="auto"/>
              <w:bottom w:val="single" w:sz="12" w:space="0" w:color="auto"/>
              <w:right w:val="single" w:sz="12" w:space="0" w:color="auto"/>
            </w:tcBorders>
          </w:tcPr>
          <w:p w14:paraId="78EB563D" w14:textId="77777777" w:rsidR="00E03C7E" w:rsidRPr="00E10BCA" w:rsidRDefault="00E03C7E" w:rsidP="007F0BD4">
            <w:pPr>
              <w:jc w:val="center"/>
              <w:rPr>
                <w:b/>
                <w:szCs w:val="22"/>
              </w:rPr>
            </w:pPr>
            <w:r>
              <w:rPr>
                <w:b/>
                <w:szCs w:val="22"/>
              </w:rPr>
              <w:t>Non-Uniformly Distributed UEs</w:t>
            </w:r>
          </w:p>
        </w:tc>
      </w:tr>
      <w:tr w:rsidR="00E03C7E" w14:paraId="5823A162" w14:textId="77777777" w:rsidTr="007F0BD4">
        <w:trPr>
          <w:jc w:val="center"/>
        </w:trPr>
        <w:tc>
          <w:tcPr>
            <w:tcW w:w="1268" w:type="dxa"/>
            <w:tcBorders>
              <w:top w:val="single" w:sz="12" w:space="0" w:color="auto"/>
              <w:left w:val="single" w:sz="12" w:space="0" w:color="auto"/>
              <w:bottom w:val="single" w:sz="12" w:space="0" w:color="auto"/>
              <w:right w:val="single" w:sz="12" w:space="0" w:color="auto"/>
            </w:tcBorders>
          </w:tcPr>
          <w:p w14:paraId="14B11C50" w14:textId="77777777" w:rsidR="00E03C7E" w:rsidRPr="00E10BCA" w:rsidRDefault="00E03C7E" w:rsidP="007F0BD4">
            <w:pPr>
              <w:jc w:val="center"/>
              <w:rPr>
                <w:b/>
                <w:szCs w:val="22"/>
              </w:rPr>
            </w:pPr>
            <w:r>
              <w:rPr>
                <w:b/>
                <w:szCs w:val="22"/>
              </w:rPr>
              <w:t>UEs/Sector</w:t>
            </w:r>
          </w:p>
        </w:tc>
        <w:tc>
          <w:tcPr>
            <w:tcW w:w="602" w:type="dxa"/>
            <w:tcBorders>
              <w:top w:val="single" w:sz="12" w:space="0" w:color="auto"/>
              <w:left w:val="single" w:sz="12" w:space="0" w:color="auto"/>
              <w:bottom w:val="single" w:sz="12" w:space="0" w:color="auto"/>
              <w:right w:val="single" w:sz="12" w:space="0" w:color="auto"/>
            </w:tcBorders>
          </w:tcPr>
          <w:p w14:paraId="6997D57E" w14:textId="77777777" w:rsidR="00E03C7E" w:rsidRDefault="00E03C7E" w:rsidP="007F0BD4">
            <w:pPr>
              <w:jc w:val="center"/>
              <w:rPr>
                <w:b/>
                <w:szCs w:val="22"/>
              </w:rPr>
            </w:pPr>
            <w:r>
              <w:rPr>
                <w:b/>
                <w:szCs w:val="22"/>
              </w:rPr>
              <w:t>4</w:t>
            </w:r>
          </w:p>
        </w:tc>
        <w:tc>
          <w:tcPr>
            <w:tcW w:w="693" w:type="dxa"/>
            <w:tcBorders>
              <w:top w:val="single" w:sz="12" w:space="0" w:color="auto"/>
              <w:left w:val="single" w:sz="12" w:space="0" w:color="auto"/>
              <w:bottom w:val="single" w:sz="12" w:space="0" w:color="auto"/>
              <w:right w:val="single" w:sz="12" w:space="0" w:color="auto"/>
            </w:tcBorders>
          </w:tcPr>
          <w:p w14:paraId="00E637F7" w14:textId="77777777" w:rsidR="00E03C7E" w:rsidRPr="00E10BCA" w:rsidRDefault="00E03C7E" w:rsidP="007F0BD4">
            <w:pPr>
              <w:jc w:val="center"/>
              <w:rPr>
                <w:b/>
                <w:szCs w:val="22"/>
              </w:rPr>
            </w:pPr>
            <w:r>
              <w:rPr>
                <w:b/>
                <w:szCs w:val="22"/>
              </w:rPr>
              <w:t>10</w:t>
            </w:r>
          </w:p>
        </w:tc>
        <w:tc>
          <w:tcPr>
            <w:tcW w:w="691" w:type="dxa"/>
            <w:tcBorders>
              <w:top w:val="single" w:sz="12" w:space="0" w:color="auto"/>
              <w:left w:val="single" w:sz="12" w:space="0" w:color="auto"/>
              <w:bottom w:val="single" w:sz="12" w:space="0" w:color="auto"/>
              <w:right w:val="single" w:sz="12" w:space="0" w:color="auto"/>
            </w:tcBorders>
          </w:tcPr>
          <w:p w14:paraId="1AFDB581" w14:textId="77777777" w:rsidR="00E03C7E" w:rsidRPr="00E10BCA" w:rsidRDefault="00E03C7E" w:rsidP="007F0BD4">
            <w:pPr>
              <w:jc w:val="center"/>
              <w:rPr>
                <w:b/>
                <w:szCs w:val="22"/>
              </w:rPr>
            </w:pPr>
            <w:r>
              <w:rPr>
                <w:b/>
                <w:szCs w:val="22"/>
              </w:rPr>
              <w:t>20</w:t>
            </w:r>
          </w:p>
        </w:tc>
        <w:tc>
          <w:tcPr>
            <w:tcW w:w="601" w:type="dxa"/>
            <w:tcBorders>
              <w:top w:val="single" w:sz="12" w:space="0" w:color="auto"/>
              <w:left w:val="single" w:sz="12" w:space="0" w:color="auto"/>
              <w:bottom w:val="single" w:sz="12" w:space="0" w:color="auto"/>
              <w:right w:val="single" w:sz="12" w:space="0" w:color="auto"/>
            </w:tcBorders>
          </w:tcPr>
          <w:p w14:paraId="1228E73D" w14:textId="77777777" w:rsidR="00E03C7E" w:rsidRDefault="00E03C7E" w:rsidP="007F0BD4">
            <w:pPr>
              <w:jc w:val="center"/>
              <w:rPr>
                <w:b/>
                <w:szCs w:val="22"/>
              </w:rPr>
            </w:pPr>
            <w:r>
              <w:rPr>
                <w:b/>
                <w:szCs w:val="22"/>
              </w:rPr>
              <w:t>4</w:t>
            </w:r>
          </w:p>
        </w:tc>
        <w:tc>
          <w:tcPr>
            <w:tcW w:w="692" w:type="dxa"/>
            <w:tcBorders>
              <w:top w:val="single" w:sz="12" w:space="0" w:color="auto"/>
              <w:left w:val="single" w:sz="12" w:space="0" w:color="auto"/>
              <w:bottom w:val="single" w:sz="12" w:space="0" w:color="auto"/>
              <w:right w:val="single" w:sz="12" w:space="0" w:color="auto"/>
            </w:tcBorders>
          </w:tcPr>
          <w:p w14:paraId="463BD82D" w14:textId="77777777" w:rsidR="00E03C7E" w:rsidRPr="00E10BCA" w:rsidRDefault="00E03C7E" w:rsidP="007F0BD4">
            <w:pPr>
              <w:jc w:val="center"/>
              <w:rPr>
                <w:b/>
                <w:szCs w:val="22"/>
              </w:rPr>
            </w:pPr>
            <w:r>
              <w:rPr>
                <w:b/>
                <w:szCs w:val="22"/>
              </w:rPr>
              <w:t>10</w:t>
            </w:r>
          </w:p>
        </w:tc>
        <w:tc>
          <w:tcPr>
            <w:tcW w:w="692" w:type="dxa"/>
            <w:tcBorders>
              <w:top w:val="single" w:sz="12" w:space="0" w:color="auto"/>
              <w:left w:val="single" w:sz="12" w:space="0" w:color="auto"/>
              <w:bottom w:val="single" w:sz="12" w:space="0" w:color="auto"/>
              <w:right w:val="single" w:sz="12" w:space="0" w:color="auto"/>
            </w:tcBorders>
          </w:tcPr>
          <w:p w14:paraId="00E123B6" w14:textId="77777777" w:rsidR="00E03C7E" w:rsidRPr="00E10BCA" w:rsidRDefault="00E03C7E" w:rsidP="007F0BD4">
            <w:pPr>
              <w:jc w:val="center"/>
              <w:rPr>
                <w:b/>
                <w:szCs w:val="22"/>
              </w:rPr>
            </w:pPr>
            <w:r>
              <w:rPr>
                <w:b/>
                <w:szCs w:val="22"/>
              </w:rPr>
              <w:t>20</w:t>
            </w:r>
          </w:p>
        </w:tc>
      </w:tr>
      <w:tr w:rsidR="00E03C7E" w14:paraId="4282AF20" w14:textId="77777777" w:rsidTr="007F0BD4">
        <w:trPr>
          <w:jc w:val="center"/>
        </w:trPr>
        <w:tc>
          <w:tcPr>
            <w:tcW w:w="1268" w:type="dxa"/>
            <w:tcBorders>
              <w:top w:val="single" w:sz="12" w:space="0" w:color="auto"/>
              <w:left w:val="single" w:sz="12" w:space="0" w:color="auto"/>
              <w:bottom w:val="single" w:sz="12" w:space="0" w:color="auto"/>
              <w:right w:val="single" w:sz="12" w:space="0" w:color="auto"/>
            </w:tcBorders>
          </w:tcPr>
          <w:p w14:paraId="69F30325" w14:textId="77777777" w:rsidR="00E03C7E" w:rsidRPr="00E10BCA" w:rsidRDefault="00E03C7E" w:rsidP="007F0BD4">
            <w:pPr>
              <w:jc w:val="center"/>
              <w:rPr>
                <w:b/>
                <w:szCs w:val="22"/>
              </w:rPr>
            </w:pPr>
            <w:r w:rsidRPr="00E10BCA">
              <w:rPr>
                <w:b/>
                <w:szCs w:val="22"/>
              </w:rPr>
              <w:t>10%</w:t>
            </w:r>
          </w:p>
        </w:tc>
        <w:tc>
          <w:tcPr>
            <w:tcW w:w="602" w:type="dxa"/>
            <w:tcBorders>
              <w:top w:val="single" w:sz="12" w:space="0" w:color="auto"/>
              <w:left w:val="single" w:sz="12" w:space="0" w:color="auto"/>
              <w:right w:val="single" w:sz="8" w:space="0" w:color="000000"/>
            </w:tcBorders>
          </w:tcPr>
          <w:p w14:paraId="2ACC7FE1" w14:textId="046ACBFA" w:rsidR="00E03C7E" w:rsidRPr="000A7F52" w:rsidRDefault="00E03C7E" w:rsidP="007F0BD4">
            <w:pPr>
              <w:jc w:val="center"/>
              <w:rPr>
                <w:szCs w:val="22"/>
              </w:rPr>
            </w:pPr>
            <w:r>
              <w:rPr>
                <w:szCs w:val="22"/>
              </w:rPr>
              <w:t>4.8</w:t>
            </w:r>
          </w:p>
        </w:tc>
        <w:tc>
          <w:tcPr>
            <w:tcW w:w="693" w:type="dxa"/>
            <w:tcBorders>
              <w:top w:val="single" w:sz="12" w:space="0" w:color="auto"/>
              <w:left w:val="single" w:sz="8" w:space="0" w:color="000000"/>
            </w:tcBorders>
          </w:tcPr>
          <w:p w14:paraId="0252A1A0" w14:textId="4B3CA614" w:rsidR="00E03C7E" w:rsidRPr="000A7F52" w:rsidRDefault="00E03C7E" w:rsidP="007F0BD4">
            <w:pPr>
              <w:jc w:val="center"/>
              <w:rPr>
                <w:szCs w:val="22"/>
              </w:rPr>
            </w:pPr>
            <w:r>
              <w:rPr>
                <w:szCs w:val="22"/>
              </w:rPr>
              <w:t>16.5</w:t>
            </w:r>
          </w:p>
        </w:tc>
        <w:tc>
          <w:tcPr>
            <w:tcW w:w="691" w:type="dxa"/>
            <w:tcBorders>
              <w:top w:val="single" w:sz="12" w:space="0" w:color="auto"/>
            </w:tcBorders>
          </w:tcPr>
          <w:p w14:paraId="370F2428" w14:textId="32322461" w:rsidR="00E03C7E" w:rsidRPr="000A7F52" w:rsidRDefault="00E03C7E" w:rsidP="007F0BD4">
            <w:pPr>
              <w:jc w:val="center"/>
              <w:rPr>
                <w:szCs w:val="22"/>
              </w:rPr>
            </w:pPr>
            <w:r>
              <w:rPr>
                <w:szCs w:val="22"/>
              </w:rPr>
              <w:t>39.7</w:t>
            </w:r>
          </w:p>
        </w:tc>
        <w:tc>
          <w:tcPr>
            <w:tcW w:w="601" w:type="dxa"/>
            <w:tcBorders>
              <w:top w:val="single" w:sz="12" w:space="0" w:color="auto"/>
              <w:left w:val="single" w:sz="12" w:space="0" w:color="000000"/>
            </w:tcBorders>
          </w:tcPr>
          <w:p w14:paraId="5AEAF2BD" w14:textId="04FBD83B" w:rsidR="00E03C7E" w:rsidRDefault="00E03C7E" w:rsidP="007F0BD4">
            <w:pPr>
              <w:jc w:val="center"/>
              <w:rPr>
                <w:szCs w:val="22"/>
              </w:rPr>
            </w:pPr>
            <w:r>
              <w:rPr>
                <w:szCs w:val="22"/>
              </w:rPr>
              <w:t>4.3</w:t>
            </w:r>
          </w:p>
        </w:tc>
        <w:tc>
          <w:tcPr>
            <w:tcW w:w="692" w:type="dxa"/>
            <w:tcBorders>
              <w:top w:val="single" w:sz="12" w:space="0" w:color="auto"/>
            </w:tcBorders>
          </w:tcPr>
          <w:p w14:paraId="026F3633" w14:textId="544C5FE2" w:rsidR="00E03C7E" w:rsidRPr="000A7F52" w:rsidRDefault="00E03C7E" w:rsidP="007F0BD4">
            <w:pPr>
              <w:jc w:val="center"/>
              <w:rPr>
                <w:szCs w:val="22"/>
              </w:rPr>
            </w:pPr>
            <w:r>
              <w:rPr>
                <w:szCs w:val="22"/>
              </w:rPr>
              <w:t>12.2</w:t>
            </w:r>
          </w:p>
        </w:tc>
        <w:tc>
          <w:tcPr>
            <w:tcW w:w="692" w:type="dxa"/>
            <w:tcBorders>
              <w:top w:val="single" w:sz="12" w:space="0" w:color="auto"/>
              <w:right w:val="single" w:sz="12" w:space="0" w:color="000000"/>
            </w:tcBorders>
          </w:tcPr>
          <w:p w14:paraId="7F7EE777" w14:textId="295C2984" w:rsidR="00E03C7E" w:rsidRPr="000A7F52" w:rsidRDefault="00E03C7E" w:rsidP="007F0BD4">
            <w:pPr>
              <w:jc w:val="center"/>
              <w:rPr>
                <w:szCs w:val="22"/>
              </w:rPr>
            </w:pPr>
            <w:r>
              <w:rPr>
                <w:szCs w:val="22"/>
              </w:rPr>
              <w:t>20.6</w:t>
            </w:r>
          </w:p>
        </w:tc>
      </w:tr>
      <w:tr w:rsidR="00E03C7E" w14:paraId="3F432340" w14:textId="77777777" w:rsidTr="007F0BD4">
        <w:trPr>
          <w:jc w:val="center"/>
        </w:trPr>
        <w:tc>
          <w:tcPr>
            <w:tcW w:w="1268" w:type="dxa"/>
            <w:tcBorders>
              <w:top w:val="single" w:sz="12" w:space="0" w:color="auto"/>
              <w:left w:val="single" w:sz="12" w:space="0" w:color="auto"/>
              <w:bottom w:val="single" w:sz="12" w:space="0" w:color="auto"/>
              <w:right w:val="single" w:sz="12" w:space="0" w:color="auto"/>
            </w:tcBorders>
          </w:tcPr>
          <w:p w14:paraId="2A8548F3" w14:textId="77777777" w:rsidR="00E03C7E" w:rsidRPr="00E10BCA" w:rsidRDefault="00E03C7E" w:rsidP="007F0BD4">
            <w:pPr>
              <w:jc w:val="center"/>
              <w:rPr>
                <w:b/>
                <w:szCs w:val="22"/>
              </w:rPr>
            </w:pPr>
            <w:r w:rsidRPr="00E10BCA">
              <w:rPr>
                <w:b/>
                <w:szCs w:val="22"/>
              </w:rPr>
              <w:t>50%</w:t>
            </w:r>
          </w:p>
        </w:tc>
        <w:tc>
          <w:tcPr>
            <w:tcW w:w="602" w:type="dxa"/>
            <w:tcBorders>
              <w:left w:val="single" w:sz="12" w:space="0" w:color="auto"/>
              <w:right w:val="single" w:sz="8" w:space="0" w:color="000000"/>
            </w:tcBorders>
          </w:tcPr>
          <w:p w14:paraId="564C6273" w14:textId="046B946B" w:rsidR="00E03C7E" w:rsidRDefault="00E03C7E" w:rsidP="007F0BD4">
            <w:pPr>
              <w:jc w:val="center"/>
              <w:rPr>
                <w:szCs w:val="22"/>
              </w:rPr>
            </w:pPr>
            <w:r>
              <w:rPr>
                <w:szCs w:val="22"/>
              </w:rPr>
              <w:t>32.1</w:t>
            </w:r>
          </w:p>
        </w:tc>
        <w:tc>
          <w:tcPr>
            <w:tcW w:w="693" w:type="dxa"/>
            <w:tcBorders>
              <w:left w:val="single" w:sz="8" w:space="0" w:color="000000"/>
            </w:tcBorders>
          </w:tcPr>
          <w:p w14:paraId="4B69BD41" w14:textId="33D7F729" w:rsidR="00E03C7E" w:rsidRPr="000A7F52" w:rsidRDefault="00E03C7E" w:rsidP="007F0BD4">
            <w:pPr>
              <w:jc w:val="center"/>
              <w:rPr>
                <w:szCs w:val="22"/>
              </w:rPr>
            </w:pPr>
            <w:r>
              <w:rPr>
                <w:szCs w:val="22"/>
              </w:rPr>
              <w:t>65.1</w:t>
            </w:r>
          </w:p>
        </w:tc>
        <w:tc>
          <w:tcPr>
            <w:tcW w:w="691" w:type="dxa"/>
          </w:tcPr>
          <w:p w14:paraId="328E3A89" w14:textId="1A13A87E" w:rsidR="00E03C7E" w:rsidRPr="000A7F52" w:rsidRDefault="00E03C7E" w:rsidP="007F0BD4">
            <w:pPr>
              <w:jc w:val="center"/>
              <w:rPr>
                <w:szCs w:val="22"/>
              </w:rPr>
            </w:pPr>
            <w:r>
              <w:rPr>
                <w:szCs w:val="22"/>
              </w:rPr>
              <w:t>87.4</w:t>
            </w:r>
          </w:p>
        </w:tc>
        <w:tc>
          <w:tcPr>
            <w:tcW w:w="601" w:type="dxa"/>
            <w:tcBorders>
              <w:left w:val="single" w:sz="12" w:space="0" w:color="000000"/>
            </w:tcBorders>
          </w:tcPr>
          <w:p w14:paraId="15685E08" w14:textId="07CFDD8C" w:rsidR="00E03C7E" w:rsidRDefault="00E03C7E" w:rsidP="007F0BD4">
            <w:pPr>
              <w:jc w:val="center"/>
              <w:rPr>
                <w:szCs w:val="22"/>
              </w:rPr>
            </w:pPr>
            <w:r>
              <w:rPr>
                <w:szCs w:val="22"/>
              </w:rPr>
              <w:t>23.0</w:t>
            </w:r>
          </w:p>
        </w:tc>
        <w:tc>
          <w:tcPr>
            <w:tcW w:w="692" w:type="dxa"/>
          </w:tcPr>
          <w:p w14:paraId="5FEC1E97" w14:textId="3127FBE1" w:rsidR="00E03C7E" w:rsidRPr="000A7F52" w:rsidRDefault="00E03C7E" w:rsidP="007F0BD4">
            <w:pPr>
              <w:jc w:val="center"/>
              <w:rPr>
                <w:szCs w:val="22"/>
              </w:rPr>
            </w:pPr>
            <w:r>
              <w:rPr>
                <w:szCs w:val="22"/>
              </w:rPr>
              <w:t>35.1</w:t>
            </w:r>
          </w:p>
        </w:tc>
        <w:tc>
          <w:tcPr>
            <w:tcW w:w="692" w:type="dxa"/>
            <w:tcBorders>
              <w:right w:val="single" w:sz="12" w:space="0" w:color="000000"/>
            </w:tcBorders>
          </w:tcPr>
          <w:p w14:paraId="005E5DDA" w14:textId="6FB4E55D" w:rsidR="00E03C7E" w:rsidRPr="000A7F52" w:rsidRDefault="00E03C7E" w:rsidP="007F0BD4">
            <w:pPr>
              <w:jc w:val="center"/>
              <w:rPr>
                <w:szCs w:val="22"/>
              </w:rPr>
            </w:pPr>
            <w:r>
              <w:rPr>
                <w:szCs w:val="22"/>
              </w:rPr>
              <w:t>47.0</w:t>
            </w:r>
          </w:p>
        </w:tc>
      </w:tr>
      <w:tr w:rsidR="00E03C7E" w14:paraId="31B2FF2E" w14:textId="77777777" w:rsidTr="007F0BD4">
        <w:trPr>
          <w:jc w:val="center"/>
        </w:trPr>
        <w:tc>
          <w:tcPr>
            <w:tcW w:w="1268" w:type="dxa"/>
            <w:tcBorders>
              <w:top w:val="single" w:sz="12" w:space="0" w:color="auto"/>
              <w:left w:val="single" w:sz="12" w:space="0" w:color="auto"/>
              <w:bottom w:val="single" w:sz="12" w:space="0" w:color="auto"/>
              <w:right w:val="single" w:sz="12" w:space="0" w:color="auto"/>
            </w:tcBorders>
          </w:tcPr>
          <w:p w14:paraId="0DAC2ACB" w14:textId="77777777" w:rsidR="00E03C7E" w:rsidRPr="00E10BCA" w:rsidRDefault="00E03C7E" w:rsidP="007F0BD4">
            <w:pPr>
              <w:jc w:val="center"/>
              <w:rPr>
                <w:b/>
                <w:szCs w:val="22"/>
              </w:rPr>
            </w:pPr>
            <w:r w:rsidRPr="00E10BCA">
              <w:rPr>
                <w:b/>
                <w:szCs w:val="22"/>
              </w:rPr>
              <w:t>90%</w:t>
            </w:r>
          </w:p>
        </w:tc>
        <w:tc>
          <w:tcPr>
            <w:tcW w:w="602" w:type="dxa"/>
            <w:tcBorders>
              <w:left w:val="single" w:sz="12" w:space="0" w:color="auto"/>
              <w:right w:val="single" w:sz="8" w:space="0" w:color="000000"/>
            </w:tcBorders>
          </w:tcPr>
          <w:p w14:paraId="20F255C3" w14:textId="218F3517" w:rsidR="00E03C7E" w:rsidRDefault="00E03C7E" w:rsidP="007F0BD4">
            <w:pPr>
              <w:jc w:val="center"/>
              <w:rPr>
                <w:szCs w:val="22"/>
              </w:rPr>
            </w:pPr>
            <w:r>
              <w:rPr>
                <w:szCs w:val="22"/>
              </w:rPr>
              <w:t>55.0</w:t>
            </w:r>
          </w:p>
        </w:tc>
        <w:tc>
          <w:tcPr>
            <w:tcW w:w="693" w:type="dxa"/>
            <w:tcBorders>
              <w:left w:val="single" w:sz="8" w:space="0" w:color="000000"/>
            </w:tcBorders>
          </w:tcPr>
          <w:p w14:paraId="0BD0CD2B" w14:textId="21A79D61" w:rsidR="00E03C7E" w:rsidRPr="000A7F52" w:rsidRDefault="00E03C7E" w:rsidP="007F0BD4">
            <w:pPr>
              <w:jc w:val="center"/>
              <w:rPr>
                <w:szCs w:val="22"/>
              </w:rPr>
            </w:pPr>
            <w:r>
              <w:rPr>
                <w:szCs w:val="22"/>
              </w:rPr>
              <w:t>81.8</w:t>
            </w:r>
          </w:p>
        </w:tc>
        <w:tc>
          <w:tcPr>
            <w:tcW w:w="691" w:type="dxa"/>
          </w:tcPr>
          <w:p w14:paraId="645BAE5B" w14:textId="788E5462" w:rsidR="00E03C7E" w:rsidRPr="000A7F52" w:rsidRDefault="00E03C7E" w:rsidP="007F0BD4">
            <w:pPr>
              <w:jc w:val="center"/>
              <w:rPr>
                <w:szCs w:val="22"/>
              </w:rPr>
            </w:pPr>
            <w:r>
              <w:rPr>
                <w:szCs w:val="22"/>
              </w:rPr>
              <w:t>93.9</w:t>
            </w:r>
          </w:p>
        </w:tc>
        <w:tc>
          <w:tcPr>
            <w:tcW w:w="601" w:type="dxa"/>
            <w:tcBorders>
              <w:left w:val="single" w:sz="12" w:space="0" w:color="000000"/>
            </w:tcBorders>
          </w:tcPr>
          <w:p w14:paraId="2C3CBAB1" w14:textId="334722B0" w:rsidR="00E03C7E" w:rsidRDefault="00E03C7E" w:rsidP="007F0BD4">
            <w:pPr>
              <w:jc w:val="center"/>
              <w:rPr>
                <w:szCs w:val="22"/>
              </w:rPr>
            </w:pPr>
            <w:r>
              <w:rPr>
                <w:szCs w:val="22"/>
              </w:rPr>
              <w:t>43.8</w:t>
            </w:r>
          </w:p>
        </w:tc>
        <w:tc>
          <w:tcPr>
            <w:tcW w:w="692" w:type="dxa"/>
          </w:tcPr>
          <w:p w14:paraId="30D2E5C7" w14:textId="6DA0A44F" w:rsidR="00E03C7E" w:rsidRPr="000A7F52" w:rsidRDefault="00E03C7E" w:rsidP="007F0BD4">
            <w:pPr>
              <w:jc w:val="center"/>
              <w:rPr>
                <w:szCs w:val="22"/>
              </w:rPr>
            </w:pPr>
            <w:r>
              <w:rPr>
                <w:szCs w:val="22"/>
              </w:rPr>
              <w:t>57.1</w:t>
            </w:r>
          </w:p>
        </w:tc>
        <w:tc>
          <w:tcPr>
            <w:tcW w:w="692" w:type="dxa"/>
            <w:tcBorders>
              <w:right w:val="single" w:sz="12" w:space="0" w:color="000000"/>
            </w:tcBorders>
          </w:tcPr>
          <w:p w14:paraId="25C5D617" w14:textId="2B6D2ED2" w:rsidR="00E03C7E" w:rsidRPr="000A7F52" w:rsidRDefault="00E03C7E" w:rsidP="007F0BD4">
            <w:pPr>
              <w:jc w:val="center"/>
              <w:rPr>
                <w:szCs w:val="22"/>
              </w:rPr>
            </w:pPr>
            <w:r>
              <w:rPr>
                <w:szCs w:val="22"/>
              </w:rPr>
              <w:t>73.7</w:t>
            </w:r>
          </w:p>
        </w:tc>
      </w:tr>
      <w:tr w:rsidR="00E03C7E" w14:paraId="4A8ED3A1" w14:textId="77777777" w:rsidTr="007F0BD4">
        <w:trPr>
          <w:jc w:val="center"/>
        </w:trPr>
        <w:tc>
          <w:tcPr>
            <w:tcW w:w="1268" w:type="dxa"/>
            <w:tcBorders>
              <w:top w:val="single" w:sz="12" w:space="0" w:color="auto"/>
              <w:left w:val="single" w:sz="12" w:space="0" w:color="auto"/>
              <w:bottom w:val="single" w:sz="12" w:space="0" w:color="auto"/>
              <w:right w:val="single" w:sz="12" w:space="0" w:color="auto"/>
            </w:tcBorders>
          </w:tcPr>
          <w:p w14:paraId="3AF464D9" w14:textId="77777777" w:rsidR="00E03C7E" w:rsidRPr="00E10BCA" w:rsidRDefault="00E03C7E" w:rsidP="007F0BD4">
            <w:pPr>
              <w:jc w:val="center"/>
              <w:rPr>
                <w:b/>
                <w:szCs w:val="22"/>
              </w:rPr>
            </w:pPr>
            <w:r w:rsidRPr="00E10BCA">
              <w:rPr>
                <w:b/>
                <w:szCs w:val="22"/>
              </w:rPr>
              <w:t>Mean</w:t>
            </w:r>
          </w:p>
        </w:tc>
        <w:tc>
          <w:tcPr>
            <w:tcW w:w="602" w:type="dxa"/>
            <w:tcBorders>
              <w:left w:val="single" w:sz="12" w:space="0" w:color="auto"/>
              <w:bottom w:val="single" w:sz="12" w:space="0" w:color="000000"/>
              <w:right w:val="single" w:sz="8" w:space="0" w:color="000000"/>
            </w:tcBorders>
          </w:tcPr>
          <w:p w14:paraId="4CCDAA34" w14:textId="5D0688B7" w:rsidR="00E03C7E" w:rsidRPr="00F8172C" w:rsidRDefault="00E03C7E" w:rsidP="007F0BD4">
            <w:pPr>
              <w:jc w:val="center"/>
              <w:rPr>
                <w:szCs w:val="22"/>
              </w:rPr>
            </w:pPr>
            <w:r>
              <w:rPr>
                <w:szCs w:val="22"/>
              </w:rPr>
              <w:t>32.5</w:t>
            </w:r>
          </w:p>
        </w:tc>
        <w:tc>
          <w:tcPr>
            <w:tcW w:w="693" w:type="dxa"/>
            <w:tcBorders>
              <w:left w:val="single" w:sz="8" w:space="0" w:color="000000"/>
              <w:bottom w:val="single" w:sz="12" w:space="0" w:color="000000"/>
            </w:tcBorders>
          </w:tcPr>
          <w:p w14:paraId="090770C6" w14:textId="69A5F5ED" w:rsidR="00E03C7E" w:rsidRPr="00F8172C" w:rsidRDefault="00E03C7E" w:rsidP="007F0BD4">
            <w:pPr>
              <w:jc w:val="center"/>
              <w:rPr>
                <w:szCs w:val="22"/>
              </w:rPr>
            </w:pPr>
            <w:r>
              <w:rPr>
                <w:szCs w:val="22"/>
              </w:rPr>
              <w:t>57.6</w:t>
            </w:r>
          </w:p>
        </w:tc>
        <w:tc>
          <w:tcPr>
            <w:tcW w:w="691" w:type="dxa"/>
            <w:tcBorders>
              <w:bottom w:val="single" w:sz="12" w:space="0" w:color="000000"/>
            </w:tcBorders>
          </w:tcPr>
          <w:p w14:paraId="7D7E1446" w14:textId="5E3DFAEF" w:rsidR="00E03C7E" w:rsidRPr="00F8172C" w:rsidRDefault="00E03C7E" w:rsidP="007F0BD4">
            <w:pPr>
              <w:jc w:val="center"/>
              <w:rPr>
                <w:szCs w:val="22"/>
              </w:rPr>
            </w:pPr>
            <w:r>
              <w:rPr>
                <w:szCs w:val="22"/>
              </w:rPr>
              <w:t>75.3</w:t>
            </w:r>
          </w:p>
        </w:tc>
        <w:tc>
          <w:tcPr>
            <w:tcW w:w="601" w:type="dxa"/>
            <w:tcBorders>
              <w:left w:val="single" w:sz="12" w:space="0" w:color="000000"/>
              <w:bottom w:val="single" w:sz="12" w:space="0" w:color="000000"/>
            </w:tcBorders>
          </w:tcPr>
          <w:p w14:paraId="68DCB20B" w14:textId="0C61DB46" w:rsidR="00E03C7E" w:rsidRPr="00F8172C" w:rsidRDefault="00E03C7E" w:rsidP="007F0BD4">
            <w:pPr>
              <w:jc w:val="center"/>
              <w:rPr>
                <w:szCs w:val="22"/>
              </w:rPr>
            </w:pPr>
            <w:r>
              <w:rPr>
                <w:szCs w:val="22"/>
              </w:rPr>
              <w:t>24.1</w:t>
            </w:r>
          </w:p>
        </w:tc>
        <w:tc>
          <w:tcPr>
            <w:tcW w:w="692" w:type="dxa"/>
            <w:tcBorders>
              <w:bottom w:val="single" w:sz="12" w:space="0" w:color="000000"/>
            </w:tcBorders>
          </w:tcPr>
          <w:p w14:paraId="75A7507F" w14:textId="1E9FD7D2" w:rsidR="00E03C7E" w:rsidRPr="00F8172C" w:rsidRDefault="00E03C7E" w:rsidP="007F0BD4">
            <w:pPr>
              <w:jc w:val="center"/>
              <w:rPr>
                <w:szCs w:val="22"/>
              </w:rPr>
            </w:pPr>
            <w:r>
              <w:rPr>
                <w:szCs w:val="22"/>
              </w:rPr>
              <w:t>35.6</w:t>
            </w:r>
          </w:p>
        </w:tc>
        <w:tc>
          <w:tcPr>
            <w:tcW w:w="692" w:type="dxa"/>
            <w:tcBorders>
              <w:bottom w:val="single" w:sz="12" w:space="0" w:color="000000"/>
              <w:right w:val="single" w:sz="12" w:space="0" w:color="000000"/>
            </w:tcBorders>
          </w:tcPr>
          <w:p w14:paraId="2EC805AF" w14:textId="39B9589C" w:rsidR="00E03C7E" w:rsidRPr="00F8172C" w:rsidRDefault="00E03C7E" w:rsidP="007F0BD4">
            <w:pPr>
              <w:jc w:val="center"/>
              <w:rPr>
                <w:szCs w:val="22"/>
              </w:rPr>
            </w:pPr>
            <w:r>
              <w:rPr>
                <w:szCs w:val="22"/>
              </w:rPr>
              <w:t>46.7</w:t>
            </w:r>
          </w:p>
        </w:tc>
      </w:tr>
    </w:tbl>
    <w:p w14:paraId="4EE52B3F" w14:textId="77777777" w:rsidR="00E03C7E" w:rsidRDefault="00E03C7E" w:rsidP="00A114B8">
      <w:pPr>
        <w:rPr>
          <w:lang w:val="en-US"/>
        </w:rPr>
      </w:pPr>
    </w:p>
    <w:p w14:paraId="07D1D2FF" w14:textId="52FAF762" w:rsidR="00D358B5" w:rsidRPr="00371E4D" w:rsidRDefault="00D358B5" w:rsidP="00D358B5">
      <w:pPr>
        <w:rPr>
          <w:i/>
          <w:szCs w:val="22"/>
        </w:rPr>
      </w:pPr>
      <w:r>
        <w:rPr>
          <w:b/>
          <w:i/>
          <w:szCs w:val="22"/>
        </w:rPr>
        <w:lastRenderedPageBreak/>
        <w:t xml:space="preserve">Observation 4: </w:t>
      </w:r>
      <w:r w:rsidRPr="00371E4D">
        <w:rPr>
          <w:i/>
          <w:szCs w:val="22"/>
        </w:rPr>
        <w:t xml:space="preserve">More </w:t>
      </w:r>
      <w:r>
        <w:rPr>
          <w:i/>
          <w:szCs w:val="22"/>
        </w:rPr>
        <w:t>interfering TRPs</w:t>
      </w:r>
      <w:r w:rsidRPr="00371E4D">
        <w:rPr>
          <w:i/>
          <w:szCs w:val="22"/>
        </w:rPr>
        <w:t xml:space="preserve"> </w:t>
      </w:r>
      <w:r>
        <w:rPr>
          <w:i/>
          <w:szCs w:val="22"/>
        </w:rPr>
        <w:t>can be reduced</w:t>
      </w:r>
      <w:r w:rsidRPr="00371E4D">
        <w:rPr>
          <w:i/>
          <w:szCs w:val="22"/>
        </w:rPr>
        <w:t xml:space="preserve"> for </w:t>
      </w:r>
      <w:r>
        <w:rPr>
          <w:i/>
          <w:szCs w:val="22"/>
        </w:rPr>
        <w:t>non-uniform</w:t>
      </w:r>
      <w:r w:rsidRPr="00371E4D">
        <w:rPr>
          <w:i/>
          <w:szCs w:val="22"/>
        </w:rPr>
        <w:t xml:space="preserve"> UE </w:t>
      </w:r>
      <w:r>
        <w:rPr>
          <w:i/>
          <w:szCs w:val="22"/>
        </w:rPr>
        <w:t>distribution</w:t>
      </w:r>
      <w:r w:rsidRPr="00371E4D">
        <w:rPr>
          <w:i/>
          <w:szCs w:val="22"/>
        </w:rPr>
        <w:t xml:space="preserve"> than </w:t>
      </w:r>
      <w:r>
        <w:rPr>
          <w:i/>
          <w:szCs w:val="22"/>
        </w:rPr>
        <w:t>uniform</w:t>
      </w:r>
      <w:r w:rsidRPr="00371E4D">
        <w:rPr>
          <w:i/>
          <w:szCs w:val="22"/>
        </w:rPr>
        <w:t xml:space="preserve"> UE </w:t>
      </w:r>
      <w:r>
        <w:rPr>
          <w:i/>
          <w:szCs w:val="22"/>
        </w:rPr>
        <w:t>distribution</w:t>
      </w:r>
      <w:r w:rsidR="006C3256">
        <w:rPr>
          <w:i/>
          <w:szCs w:val="22"/>
        </w:rPr>
        <w:t xml:space="preserve"> since</w:t>
      </w:r>
      <w:r w:rsidRPr="00371E4D">
        <w:rPr>
          <w:i/>
          <w:szCs w:val="22"/>
        </w:rPr>
        <w:t xml:space="preserve"> more </w:t>
      </w:r>
      <w:r w:rsidR="00D35F34">
        <w:rPr>
          <w:i/>
          <w:szCs w:val="22"/>
        </w:rPr>
        <w:t>allowable</w:t>
      </w:r>
      <w:r w:rsidRPr="00371E4D">
        <w:rPr>
          <w:i/>
          <w:szCs w:val="22"/>
        </w:rPr>
        <w:t xml:space="preserve"> </w:t>
      </w:r>
      <w:r>
        <w:rPr>
          <w:i/>
          <w:szCs w:val="22"/>
        </w:rPr>
        <w:t xml:space="preserve">TRP </w:t>
      </w:r>
      <w:r w:rsidRPr="00371E4D">
        <w:rPr>
          <w:i/>
          <w:szCs w:val="22"/>
        </w:rPr>
        <w:t>beams may be turned off</w:t>
      </w:r>
      <w:r>
        <w:rPr>
          <w:i/>
          <w:szCs w:val="22"/>
        </w:rPr>
        <w:t xml:space="preserve"> in case of non-uniform</w:t>
      </w:r>
      <w:r w:rsidRPr="00371E4D">
        <w:rPr>
          <w:i/>
          <w:szCs w:val="22"/>
        </w:rPr>
        <w:t xml:space="preserve"> UE </w:t>
      </w:r>
      <w:r>
        <w:rPr>
          <w:i/>
          <w:szCs w:val="22"/>
        </w:rPr>
        <w:t xml:space="preserve">distribution, particularly </w:t>
      </w:r>
      <w:r w:rsidR="00452DF3">
        <w:rPr>
          <w:i/>
          <w:szCs w:val="22"/>
        </w:rPr>
        <w:t xml:space="preserve">the </w:t>
      </w:r>
      <w:r w:rsidR="004D0B1B">
        <w:rPr>
          <w:i/>
          <w:szCs w:val="22"/>
        </w:rPr>
        <w:t xml:space="preserve">higher </w:t>
      </w:r>
      <w:r w:rsidR="00452DF3">
        <w:rPr>
          <w:i/>
          <w:szCs w:val="22"/>
        </w:rPr>
        <w:t xml:space="preserve">percentage of </w:t>
      </w:r>
      <w:r>
        <w:rPr>
          <w:i/>
          <w:szCs w:val="22"/>
        </w:rPr>
        <w:t>interfering TRPs</w:t>
      </w:r>
      <w:r w:rsidRPr="00371E4D">
        <w:rPr>
          <w:i/>
          <w:szCs w:val="22"/>
        </w:rPr>
        <w:t xml:space="preserve"> </w:t>
      </w:r>
      <w:r w:rsidR="007F3E4E">
        <w:rPr>
          <w:i/>
          <w:szCs w:val="22"/>
        </w:rPr>
        <w:t>can be significant</w:t>
      </w:r>
      <w:r w:rsidR="00452DF3">
        <w:rPr>
          <w:i/>
          <w:szCs w:val="22"/>
        </w:rPr>
        <w:t xml:space="preserve"> reduced</w:t>
      </w:r>
      <w:r w:rsidR="007F3E4E">
        <w:rPr>
          <w:i/>
          <w:szCs w:val="22"/>
        </w:rPr>
        <w:t xml:space="preserve"> </w:t>
      </w:r>
      <w:r>
        <w:rPr>
          <w:i/>
          <w:szCs w:val="22"/>
        </w:rPr>
        <w:t>when UE population is large</w:t>
      </w:r>
      <w:r w:rsidR="00452DF3">
        <w:rPr>
          <w:i/>
          <w:szCs w:val="22"/>
        </w:rPr>
        <w:t>.</w:t>
      </w:r>
    </w:p>
    <w:p w14:paraId="412A1E1B" w14:textId="77777777" w:rsidR="00D358B5" w:rsidRDefault="00D358B5" w:rsidP="001D3BD9">
      <w:pPr>
        <w:jc w:val="center"/>
        <w:rPr>
          <w:lang w:val="en-US"/>
        </w:rPr>
      </w:pPr>
    </w:p>
    <w:p w14:paraId="26AA8F27" w14:textId="77777777" w:rsidR="00995A09" w:rsidRPr="00371E4D" w:rsidRDefault="00995A09" w:rsidP="00995A09">
      <w:pPr>
        <w:pStyle w:val="Heading2"/>
        <w:rPr>
          <w:sz w:val="28"/>
          <w:szCs w:val="28"/>
        </w:rPr>
      </w:pPr>
      <w:r w:rsidRPr="00371E4D">
        <w:rPr>
          <w:sz w:val="28"/>
          <w:szCs w:val="28"/>
        </w:rPr>
        <w:t>SYNC to Assist PBCH Transmission</w:t>
      </w:r>
    </w:p>
    <w:p w14:paraId="784297AB" w14:textId="77777777" w:rsidR="00995A09" w:rsidRDefault="00995A09" w:rsidP="00995A09">
      <w:pPr>
        <w:rPr>
          <w:szCs w:val="22"/>
        </w:rPr>
      </w:pPr>
      <w:r>
        <w:rPr>
          <w:szCs w:val="22"/>
        </w:rPr>
        <w:t xml:space="preserve">A beam sweep procedure as described previously may be performed individually for the SYNC and PBCH channels. To facilitate the reception of the PBCH, the PBCH Tx beam ID may be derived from the association of the SYNC beam with the PBCH beam. Using this approach the reception of the PBCH signal may be accelerated due to the reduced overhead for identifying the PBCH beam location. </w:t>
      </w:r>
    </w:p>
    <w:p w14:paraId="2DC1666B" w14:textId="77777777" w:rsidR="00995A09" w:rsidRDefault="00995A09" w:rsidP="00995A09">
      <w:pPr>
        <w:rPr>
          <w:szCs w:val="22"/>
        </w:rPr>
      </w:pPr>
    </w:p>
    <w:p w14:paraId="6F82F4E7" w14:textId="340CBC48" w:rsidR="00995A09" w:rsidRDefault="00995A09" w:rsidP="00995A09">
      <w:pPr>
        <w:rPr>
          <w:i/>
          <w:szCs w:val="22"/>
          <w:lang w:eastAsia="sv-SE"/>
        </w:rPr>
      </w:pPr>
      <w:r w:rsidRPr="00995A09">
        <w:rPr>
          <w:b/>
          <w:i/>
          <w:szCs w:val="22"/>
          <w:u w:val="single"/>
          <w:lang w:eastAsia="sv-SE"/>
        </w:rPr>
        <w:t>Proposal 2:</w:t>
      </w:r>
      <w:r w:rsidRPr="00F4232E">
        <w:rPr>
          <w:b/>
          <w:i/>
          <w:szCs w:val="22"/>
          <w:lang w:eastAsia="sv-SE"/>
        </w:rPr>
        <w:t xml:space="preserve"> </w:t>
      </w:r>
      <w:r w:rsidR="0023612C">
        <w:rPr>
          <w:i/>
          <w:szCs w:val="22"/>
          <w:lang w:eastAsia="sv-SE"/>
        </w:rPr>
        <w:t>Association of</w:t>
      </w:r>
      <w:r>
        <w:rPr>
          <w:i/>
          <w:szCs w:val="22"/>
          <w:lang w:eastAsia="sv-SE"/>
        </w:rPr>
        <w:t xml:space="preserve"> SYNC and PBCH should be considered to reduce the beam sweep overhead in NR.</w:t>
      </w:r>
    </w:p>
    <w:p w14:paraId="714CB437" w14:textId="77777777" w:rsidR="00995A09" w:rsidRDefault="00995A09" w:rsidP="001D3BD9">
      <w:pPr>
        <w:jc w:val="center"/>
        <w:rPr>
          <w:lang w:val="en-US"/>
        </w:rPr>
      </w:pPr>
    </w:p>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34C1E159" w14:textId="6A043F86" w:rsidR="004D0B1B" w:rsidRDefault="004D0B1B" w:rsidP="004D0B1B">
      <w:r w:rsidRPr="00637119">
        <w:t xml:space="preserve">In this contribution, we </w:t>
      </w:r>
      <w:r>
        <w:t xml:space="preserve">discussed and evaluated </w:t>
      </w:r>
      <w:r w:rsidR="00991DD5">
        <w:t xml:space="preserve">the </w:t>
      </w:r>
      <w:r>
        <w:t>downlink broadcast channel design for initial access for a beam-based approach in</w:t>
      </w:r>
      <w:r w:rsidRPr="00637119">
        <w:t xml:space="preserve"> NR. Based on the </w:t>
      </w:r>
      <w:r>
        <w:t>analysis and simulations results</w:t>
      </w:r>
      <w:r w:rsidRPr="00637119">
        <w:t xml:space="preserve">, we </w:t>
      </w:r>
      <w:r>
        <w:t>have</w:t>
      </w:r>
      <w:r w:rsidRPr="00637119">
        <w:t xml:space="preserve"> the following</w:t>
      </w:r>
      <w:r>
        <w:t xml:space="preserve"> observations:</w:t>
      </w:r>
    </w:p>
    <w:p w14:paraId="0FAB7263" w14:textId="77777777" w:rsidR="00D35F34" w:rsidRPr="00A114B8" w:rsidRDefault="00D35F34" w:rsidP="00D35F34">
      <w:pPr>
        <w:rPr>
          <w:i/>
          <w:szCs w:val="22"/>
        </w:rPr>
      </w:pPr>
      <w:r>
        <w:rPr>
          <w:b/>
          <w:i/>
          <w:szCs w:val="22"/>
        </w:rPr>
        <w:lastRenderedPageBreak/>
        <w:t xml:space="preserve">Observation 1: </w:t>
      </w:r>
      <w:r w:rsidRPr="00A114B8">
        <w:rPr>
          <w:i/>
          <w:szCs w:val="22"/>
        </w:rPr>
        <w:t xml:space="preserve">SINR can be improved when </w:t>
      </w:r>
      <w:r>
        <w:rPr>
          <w:i/>
          <w:szCs w:val="22"/>
        </w:rPr>
        <w:t>some allowable</w:t>
      </w:r>
      <w:r w:rsidRPr="00A114B8">
        <w:rPr>
          <w:i/>
          <w:szCs w:val="22"/>
        </w:rPr>
        <w:t xml:space="preserve"> beams are turned off during beam sweep processing. </w:t>
      </w:r>
    </w:p>
    <w:p w14:paraId="3F500426" w14:textId="6CD24CC0" w:rsidR="00D35F34" w:rsidRPr="002541A5" w:rsidRDefault="00D35F34" w:rsidP="00D35F34">
      <w:pPr>
        <w:rPr>
          <w:i/>
          <w:szCs w:val="22"/>
        </w:rPr>
      </w:pPr>
      <w:r>
        <w:rPr>
          <w:b/>
          <w:i/>
          <w:szCs w:val="22"/>
        </w:rPr>
        <w:t xml:space="preserve">Observation 2: </w:t>
      </w:r>
      <w:r w:rsidR="006C3256">
        <w:rPr>
          <w:i/>
          <w:szCs w:val="22"/>
        </w:rPr>
        <w:t>Higher</w:t>
      </w:r>
      <w:r w:rsidRPr="00A114B8">
        <w:rPr>
          <w:i/>
          <w:szCs w:val="22"/>
        </w:rPr>
        <w:t xml:space="preserve"> SINR improvement is </w:t>
      </w:r>
      <w:proofErr w:type="spellStart"/>
      <w:r w:rsidRPr="004D0B1B">
        <w:rPr>
          <w:i/>
          <w:szCs w:val="22"/>
        </w:rPr>
        <w:t>achieveable</w:t>
      </w:r>
      <w:proofErr w:type="spellEnd"/>
      <w:r w:rsidRPr="00A114B8">
        <w:rPr>
          <w:i/>
          <w:szCs w:val="22"/>
        </w:rPr>
        <w:t xml:space="preserve"> for small UE population</w:t>
      </w:r>
      <w:r w:rsidR="0023612C">
        <w:rPr>
          <w:i/>
          <w:szCs w:val="22"/>
        </w:rPr>
        <w:t xml:space="preserve"> than large UE population since</w:t>
      </w:r>
      <w:r w:rsidRPr="00A114B8">
        <w:rPr>
          <w:i/>
          <w:szCs w:val="22"/>
        </w:rPr>
        <w:t xml:space="preserve"> more </w:t>
      </w:r>
      <w:r>
        <w:rPr>
          <w:i/>
          <w:szCs w:val="22"/>
        </w:rPr>
        <w:t>allowable</w:t>
      </w:r>
      <w:r w:rsidRPr="00A114B8">
        <w:rPr>
          <w:i/>
          <w:szCs w:val="22"/>
        </w:rPr>
        <w:t xml:space="preserve"> beams may be turned off</w:t>
      </w:r>
      <w:r>
        <w:rPr>
          <w:i/>
          <w:szCs w:val="22"/>
        </w:rPr>
        <w:t xml:space="preserve"> in case of small </w:t>
      </w:r>
      <w:r w:rsidRPr="00371E4D">
        <w:rPr>
          <w:i/>
          <w:szCs w:val="22"/>
        </w:rPr>
        <w:t>UE population</w:t>
      </w:r>
      <w:r w:rsidRPr="00A114B8">
        <w:rPr>
          <w:i/>
          <w:szCs w:val="22"/>
        </w:rPr>
        <w:t>.</w:t>
      </w:r>
    </w:p>
    <w:p w14:paraId="77FA5B36" w14:textId="51D84E99" w:rsidR="00D35F34" w:rsidRDefault="00D35F34" w:rsidP="00D35F34">
      <w:pPr>
        <w:rPr>
          <w:i/>
          <w:szCs w:val="22"/>
        </w:rPr>
      </w:pPr>
      <w:r>
        <w:rPr>
          <w:b/>
          <w:i/>
          <w:szCs w:val="22"/>
        </w:rPr>
        <w:t xml:space="preserve">Observation 3: </w:t>
      </w:r>
      <w:r>
        <w:rPr>
          <w:i/>
          <w:szCs w:val="22"/>
        </w:rPr>
        <w:t>Higher</w:t>
      </w:r>
      <w:r w:rsidRPr="00A114B8">
        <w:rPr>
          <w:i/>
          <w:szCs w:val="22"/>
        </w:rPr>
        <w:t xml:space="preserve"> SINR improvement is </w:t>
      </w:r>
      <w:r>
        <w:rPr>
          <w:i/>
          <w:szCs w:val="22"/>
        </w:rPr>
        <w:t>obtainable</w:t>
      </w:r>
      <w:r w:rsidRPr="00A114B8">
        <w:rPr>
          <w:i/>
          <w:szCs w:val="22"/>
        </w:rPr>
        <w:t xml:space="preserve"> for </w:t>
      </w:r>
      <w:r>
        <w:rPr>
          <w:i/>
          <w:szCs w:val="22"/>
        </w:rPr>
        <w:t>non-uniform</w:t>
      </w:r>
      <w:r w:rsidRPr="00A114B8">
        <w:rPr>
          <w:i/>
          <w:szCs w:val="22"/>
        </w:rPr>
        <w:t xml:space="preserve"> UE </w:t>
      </w:r>
      <w:r>
        <w:rPr>
          <w:i/>
          <w:szCs w:val="22"/>
        </w:rPr>
        <w:t>distribution</w:t>
      </w:r>
      <w:r w:rsidRPr="00A114B8">
        <w:rPr>
          <w:i/>
          <w:szCs w:val="22"/>
        </w:rPr>
        <w:t xml:space="preserve"> than </w:t>
      </w:r>
      <w:r>
        <w:rPr>
          <w:i/>
          <w:szCs w:val="22"/>
        </w:rPr>
        <w:t>uniform</w:t>
      </w:r>
      <w:r w:rsidRPr="00A114B8">
        <w:rPr>
          <w:i/>
          <w:szCs w:val="22"/>
        </w:rPr>
        <w:t xml:space="preserve"> UE </w:t>
      </w:r>
      <w:r>
        <w:rPr>
          <w:i/>
          <w:szCs w:val="22"/>
        </w:rPr>
        <w:t>distribution</w:t>
      </w:r>
      <w:r w:rsidR="0023612C">
        <w:rPr>
          <w:i/>
          <w:szCs w:val="22"/>
        </w:rPr>
        <w:t xml:space="preserve"> since</w:t>
      </w:r>
      <w:r w:rsidRPr="00A114B8">
        <w:rPr>
          <w:i/>
          <w:szCs w:val="22"/>
        </w:rPr>
        <w:t xml:space="preserve"> more </w:t>
      </w:r>
      <w:r>
        <w:rPr>
          <w:i/>
          <w:szCs w:val="22"/>
        </w:rPr>
        <w:t>allowable</w:t>
      </w:r>
      <w:r w:rsidRPr="00A114B8">
        <w:rPr>
          <w:i/>
          <w:szCs w:val="22"/>
        </w:rPr>
        <w:t xml:space="preserve"> beams may be turned off</w:t>
      </w:r>
      <w:r>
        <w:rPr>
          <w:i/>
          <w:szCs w:val="22"/>
        </w:rPr>
        <w:t xml:space="preserve"> in case of non-uniform</w:t>
      </w:r>
      <w:r w:rsidRPr="00371E4D">
        <w:rPr>
          <w:i/>
          <w:szCs w:val="22"/>
        </w:rPr>
        <w:t xml:space="preserve"> UE </w:t>
      </w:r>
      <w:r>
        <w:rPr>
          <w:i/>
          <w:szCs w:val="22"/>
        </w:rPr>
        <w:t>distribution</w:t>
      </w:r>
      <w:r w:rsidRPr="002541A5">
        <w:rPr>
          <w:i/>
          <w:szCs w:val="22"/>
        </w:rPr>
        <w:t>.</w:t>
      </w:r>
    </w:p>
    <w:p w14:paraId="088A49FB" w14:textId="0C6E6D97" w:rsidR="00452DF3" w:rsidRPr="00371E4D" w:rsidRDefault="00D35F34" w:rsidP="00D35F34">
      <w:pPr>
        <w:rPr>
          <w:i/>
          <w:szCs w:val="22"/>
        </w:rPr>
      </w:pPr>
      <w:r>
        <w:rPr>
          <w:b/>
          <w:i/>
          <w:szCs w:val="22"/>
        </w:rPr>
        <w:t xml:space="preserve">Observation 4: </w:t>
      </w:r>
      <w:r w:rsidRPr="00371E4D">
        <w:rPr>
          <w:i/>
          <w:szCs w:val="22"/>
        </w:rPr>
        <w:t xml:space="preserve">More </w:t>
      </w:r>
      <w:r>
        <w:rPr>
          <w:i/>
          <w:szCs w:val="22"/>
        </w:rPr>
        <w:t>interfering TRPs</w:t>
      </w:r>
      <w:r w:rsidRPr="00371E4D">
        <w:rPr>
          <w:i/>
          <w:szCs w:val="22"/>
        </w:rPr>
        <w:t xml:space="preserve"> </w:t>
      </w:r>
      <w:r>
        <w:rPr>
          <w:i/>
          <w:szCs w:val="22"/>
        </w:rPr>
        <w:t>can be reduced</w:t>
      </w:r>
      <w:r w:rsidRPr="00371E4D">
        <w:rPr>
          <w:i/>
          <w:szCs w:val="22"/>
        </w:rPr>
        <w:t xml:space="preserve"> for </w:t>
      </w:r>
      <w:r>
        <w:rPr>
          <w:i/>
          <w:szCs w:val="22"/>
        </w:rPr>
        <w:t>non-uniform</w:t>
      </w:r>
      <w:r w:rsidRPr="00371E4D">
        <w:rPr>
          <w:i/>
          <w:szCs w:val="22"/>
        </w:rPr>
        <w:t xml:space="preserve"> UE </w:t>
      </w:r>
      <w:r>
        <w:rPr>
          <w:i/>
          <w:szCs w:val="22"/>
        </w:rPr>
        <w:t>distribution</w:t>
      </w:r>
      <w:r w:rsidRPr="00371E4D">
        <w:rPr>
          <w:i/>
          <w:szCs w:val="22"/>
        </w:rPr>
        <w:t xml:space="preserve"> than </w:t>
      </w:r>
      <w:r>
        <w:rPr>
          <w:i/>
          <w:szCs w:val="22"/>
        </w:rPr>
        <w:t>uniform</w:t>
      </w:r>
      <w:r w:rsidRPr="00371E4D">
        <w:rPr>
          <w:i/>
          <w:szCs w:val="22"/>
        </w:rPr>
        <w:t xml:space="preserve"> UE </w:t>
      </w:r>
      <w:r>
        <w:rPr>
          <w:i/>
          <w:szCs w:val="22"/>
        </w:rPr>
        <w:t>distribution</w:t>
      </w:r>
      <w:r w:rsidR="006C3256">
        <w:rPr>
          <w:i/>
          <w:szCs w:val="22"/>
        </w:rPr>
        <w:t xml:space="preserve"> since</w:t>
      </w:r>
      <w:r w:rsidRPr="00371E4D">
        <w:rPr>
          <w:i/>
          <w:szCs w:val="22"/>
        </w:rPr>
        <w:t xml:space="preserve"> more </w:t>
      </w:r>
      <w:r>
        <w:rPr>
          <w:i/>
          <w:szCs w:val="22"/>
        </w:rPr>
        <w:t>allowable</w:t>
      </w:r>
      <w:r w:rsidRPr="00371E4D">
        <w:rPr>
          <w:i/>
          <w:szCs w:val="22"/>
        </w:rPr>
        <w:t xml:space="preserve"> </w:t>
      </w:r>
      <w:r>
        <w:rPr>
          <w:i/>
          <w:szCs w:val="22"/>
        </w:rPr>
        <w:t xml:space="preserve">TRP </w:t>
      </w:r>
      <w:r w:rsidRPr="00371E4D">
        <w:rPr>
          <w:i/>
          <w:szCs w:val="22"/>
        </w:rPr>
        <w:t>beams may be turned off</w:t>
      </w:r>
      <w:r>
        <w:rPr>
          <w:i/>
          <w:szCs w:val="22"/>
        </w:rPr>
        <w:t xml:space="preserve"> in case of non-uniform</w:t>
      </w:r>
      <w:r w:rsidRPr="00371E4D">
        <w:rPr>
          <w:i/>
          <w:szCs w:val="22"/>
        </w:rPr>
        <w:t xml:space="preserve"> UE </w:t>
      </w:r>
      <w:r>
        <w:rPr>
          <w:i/>
          <w:szCs w:val="22"/>
        </w:rPr>
        <w:t>distribution, particularly the higher percentage of interfering TRPs</w:t>
      </w:r>
      <w:r w:rsidRPr="00371E4D">
        <w:rPr>
          <w:i/>
          <w:szCs w:val="22"/>
        </w:rPr>
        <w:t xml:space="preserve"> </w:t>
      </w:r>
      <w:r>
        <w:rPr>
          <w:i/>
          <w:szCs w:val="22"/>
        </w:rPr>
        <w:t>can be significant reduced when UE population is large.</w:t>
      </w:r>
    </w:p>
    <w:p w14:paraId="4F0B88C2" w14:textId="77777777" w:rsidR="00452DF3" w:rsidRDefault="00452DF3" w:rsidP="00452DF3">
      <w:pPr>
        <w:rPr>
          <w:i/>
          <w:szCs w:val="22"/>
        </w:rPr>
      </w:pPr>
    </w:p>
    <w:p w14:paraId="598E2781" w14:textId="77777777" w:rsidR="004D0B1B" w:rsidRDefault="004D0B1B" w:rsidP="004D0B1B">
      <w:r w:rsidRPr="00637119">
        <w:t xml:space="preserve">Based on the </w:t>
      </w:r>
      <w:r>
        <w:t>observations</w:t>
      </w:r>
      <w:r w:rsidRPr="00637119">
        <w:t xml:space="preserve">, we </w:t>
      </w:r>
      <w:r>
        <w:t>have</w:t>
      </w:r>
      <w:r w:rsidRPr="00637119">
        <w:t xml:space="preserve"> the following</w:t>
      </w:r>
      <w:r>
        <w:t xml:space="preserve"> proposals:</w:t>
      </w:r>
    </w:p>
    <w:p w14:paraId="4D45E015" w14:textId="101B4A54" w:rsidR="00995A09" w:rsidRDefault="00995A09" w:rsidP="00995A09">
      <w:pPr>
        <w:rPr>
          <w:i/>
          <w:szCs w:val="24"/>
          <w:lang w:val="en-US"/>
        </w:rPr>
      </w:pPr>
      <w:r w:rsidRPr="00995A09">
        <w:rPr>
          <w:b/>
          <w:i/>
          <w:szCs w:val="22"/>
          <w:lang w:eastAsia="sv-SE"/>
        </w:rPr>
        <w:t>Proposal 1:</w:t>
      </w:r>
      <w:r w:rsidRPr="00611209">
        <w:rPr>
          <w:b/>
          <w:szCs w:val="22"/>
          <w:lang w:eastAsia="sv-SE"/>
        </w:rPr>
        <w:t xml:space="preserve"> </w:t>
      </w:r>
      <w:r>
        <w:rPr>
          <w:i/>
          <w:szCs w:val="24"/>
          <w:lang w:val="en-US"/>
        </w:rPr>
        <w:t xml:space="preserve">PBCH transmission </w:t>
      </w:r>
      <w:r w:rsidR="006C3256">
        <w:rPr>
          <w:i/>
          <w:szCs w:val="24"/>
          <w:lang w:val="en-US"/>
        </w:rPr>
        <w:t xml:space="preserve">based on all or a subset of </w:t>
      </w:r>
      <w:r>
        <w:rPr>
          <w:i/>
          <w:szCs w:val="24"/>
          <w:lang w:val="en-US"/>
        </w:rPr>
        <w:t>beams i</w:t>
      </w:r>
      <w:r w:rsidR="0023612C">
        <w:rPr>
          <w:i/>
          <w:szCs w:val="24"/>
          <w:lang w:val="en-US"/>
        </w:rPr>
        <w:t>n a beam sweep should be considered</w:t>
      </w:r>
      <w:r>
        <w:rPr>
          <w:i/>
          <w:szCs w:val="24"/>
          <w:lang w:val="en-US"/>
        </w:rPr>
        <w:t>.</w:t>
      </w:r>
    </w:p>
    <w:p w14:paraId="76404E54" w14:textId="4C8AFD54" w:rsidR="00995A09" w:rsidRDefault="00995A09" w:rsidP="00995A09">
      <w:pPr>
        <w:rPr>
          <w:i/>
          <w:szCs w:val="22"/>
          <w:lang w:eastAsia="sv-SE"/>
        </w:rPr>
      </w:pPr>
      <w:r>
        <w:rPr>
          <w:b/>
          <w:i/>
          <w:szCs w:val="22"/>
          <w:lang w:eastAsia="sv-SE"/>
        </w:rPr>
        <w:t>Proposal 2</w:t>
      </w:r>
      <w:r w:rsidRPr="0090079A">
        <w:rPr>
          <w:b/>
          <w:i/>
          <w:szCs w:val="22"/>
          <w:lang w:eastAsia="sv-SE"/>
        </w:rPr>
        <w:t>:</w:t>
      </w:r>
      <w:r w:rsidRPr="00F4232E">
        <w:rPr>
          <w:b/>
          <w:i/>
          <w:szCs w:val="22"/>
          <w:lang w:eastAsia="sv-SE"/>
        </w:rPr>
        <w:t xml:space="preserve"> </w:t>
      </w:r>
      <w:r w:rsidR="0023612C">
        <w:rPr>
          <w:i/>
          <w:szCs w:val="22"/>
          <w:lang w:eastAsia="sv-SE"/>
        </w:rPr>
        <w:t>Association of</w:t>
      </w:r>
      <w:r>
        <w:rPr>
          <w:i/>
          <w:szCs w:val="22"/>
          <w:lang w:eastAsia="sv-SE"/>
        </w:rPr>
        <w:t xml:space="preserve"> SYNC and PBCH should be considered to reduce the beam sweep overhead in NR.</w:t>
      </w:r>
    </w:p>
    <w:p w14:paraId="7A7E4D34" w14:textId="31CFB118" w:rsidR="00746CE2" w:rsidRPr="008E759F" w:rsidRDefault="00746CE2" w:rsidP="003242DD">
      <w:pPr>
        <w:rPr>
          <w:i/>
        </w:rPr>
      </w:pPr>
    </w:p>
    <w:p w14:paraId="0EF7466D" w14:textId="77777777" w:rsidR="00251B4A" w:rsidRPr="00077CF3" w:rsidRDefault="00251B4A" w:rsidP="008910FC">
      <w:pPr>
        <w:pStyle w:val="Heading1"/>
        <w:numPr>
          <w:ilvl w:val="0"/>
          <w:numId w:val="0"/>
        </w:numPr>
        <w:ind w:left="432" w:hanging="432"/>
        <w:rPr>
          <w:sz w:val="32"/>
          <w:lang w:val="en-US"/>
        </w:rPr>
      </w:pPr>
      <w:r w:rsidRPr="00077CF3">
        <w:rPr>
          <w:sz w:val="32"/>
          <w:lang w:val="en-US"/>
        </w:rPr>
        <w:t>References</w:t>
      </w:r>
    </w:p>
    <w:p w14:paraId="1F110527" w14:textId="77777777" w:rsidR="00840308" w:rsidRPr="00BC3E32" w:rsidRDefault="00840308" w:rsidP="00840308">
      <w:pPr>
        <w:numPr>
          <w:ilvl w:val="0"/>
          <w:numId w:val="16"/>
        </w:numPr>
        <w:overflowPunct/>
        <w:autoSpaceDE/>
        <w:autoSpaceDN/>
        <w:adjustRightInd/>
        <w:spacing w:after="0" w:line="276" w:lineRule="auto"/>
        <w:jc w:val="left"/>
        <w:textAlignment w:val="auto"/>
      </w:pPr>
      <w:bookmarkStart w:id="9" w:name="_Ref458702645"/>
      <w:r w:rsidRPr="00BC3E32">
        <w:t>Chairman’s Notes, 3GPP TSG-RAN WG1 #85, 23rd – 27th May 2016, Nanjing, China</w:t>
      </w:r>
      <w:bookmarkEnd w:id="9"/>
    </w:p>
    <w:p w14:paraId="6AFF6CC0" w14:textId="77777777" w:rsidR="00840308" w:rsidRDefault="00840308" w:rsidP="00840308">
      <w:pPr>
        <w:numPr>
          <w:ilvl w:val="0"/>
          <w:numId w:val="16"/>
        </w:numPr>
        <w:overflowPunct/>
        <w:autoSpaceDE/>
        <w:autoSpaceDN/>
        <w:adjustRightInd/>
        <w:spacing w:after="0" w:line="276" w:lineRule="auto"/>
        <w:jc w:val="left"/>
        <w:textAlignment w:val="auto"/>
      </w:pPr>
      <w:bookmarkStart w:id="10" w:name="_Ref460871264"/>
      <w:r w:rsidRPr="00BC3E32">
        <w:lastRenderedPageBreak/>
        <w:t>Chairman’s Notes, 3GPP TSG-RAN WG1 #86, 22nd – 26th August 2016, Gothenburg, Sweden</w:t>
      </w:r>
      <w:bookmarkEnd w:id="10"/>
    </w:p>
    <w:p w14:paraId="0C099DA1" w14:textId="36B423C7" w:rsidR="00186FC3" w:rsidRPr="006F49E6" w:rsidRDefault="00186FC3" w:rsidP="00186FC3">
      <w:pPr>
        <w:numPr>
          <w:ilvl w:val="0"/>
          <w:numId w:val="16"/>
        </w:numPr>
        <w:overflowPunct/>
        <w:autoSpaceDE/>
        <w:autoSpaceDN/>
        <w:adjustRightInd/>
        <w:spacing w:after="0" w:line="276" w:lineRule="auto"/>
        <w:jc w:val="left"/>
        <w:textAlignment w:val="auto"/>
      </w:pPr>
      <w:r w:rsidRPr="00BC3E32">
        <w:t>Chairman’s Notes, 3GPP TSG-RAN WG1 #86</w:t>
      </w:r>
      <w:r>
        <w:t>bis</w:t>
      </w:r>
      <w:r w:rsidRPr="00BC3E32">
        <w:t xml:space="preserve">, </w:t>
      </w:r>
      <w:r w:rsidRPr="00371E4D">
        <w:rPr>
          <w:szCs w:val="22"/>
          <w:lang w:val="en-US"/>
        </w:rPr>
        <w:t>10th - 14th October 2016</w:t>
      </w:r>
      <w:r>
        <w:rPr>
          <w:szCs w:val="22"/>
          <w:lang w:val="en-US"/>
        </w:rPr>
        <w:t xml:space="preserve">, </w:t>
      </w:r>
      <w:r w:rsidRPr="00371E4D">
        <w:rPr>
          <w:szCs w:val="22"/>
          <w:lang w:val="en-US"/>
        </w:rPr>
        <w:t>Lisbon, Portugal</w:t>
      </w:r>
    </w:p>
    <w:p w14:paraId="10A43262" w14:textId="24230881" w:rsidR="00AA2812" w:rsidRDefault="00E879A2" w:rsidP="006F49E6">
      <w:pPr>
        <w:pStyle w:val="ListParagraph"/>
        <w:numPr>
          <w:ilvl w:val="0"/>
          <w:numId w:val="16"/>
        </w:numPr>
        <w:rPr>
          <w:rFonts w:eastAsia="MS Mincho"/>
          <w:lang w:eastAsia="ja-JP"/>
        </w:rPr>
      </w:pPr>
      <w:hyperlink r:id="rId15" w:history="1">
        <w:r w:rsidR="00AA2812" w:rsidRPr="003F7152">
          <w:rPr>
            <w:rStyle w:val="Hyperlink"/>
            <w:rFonts w:ascii="Times New Roman" w:eastAsia="MS Mincho" w:hAnsi="Times New Roman"/>
            <w:color w:val="auto"/>
            <w:u w:val="none"/>
            <w:lang w:eastAsia="ja-JP"/>
          </w:rPr>
          <w:t>R1-1610522</w:t>
        </w:r>
      </w:hyperlink>
      <w:r w:rsidR="00AA2812" w:rsidRPr="003F7152">
        <w:rPr>
          <w:rStyle w:val="Hyperlink"/>
          <w:rFonts w:ascii="Times New Roman" w:eastAsia="MS Mincho" w:hAnsi="Times New Roman"/>
          <w:color w:val="auto"/>
          <w:u w:val="none"/>
          <w:lang w:eastAsia="ja-JP"/>
        </w:rPr>
        <w:t>,</w:t>
      </w:r>
      <w:r w:rsidR="00AA2812" w:rsidRPr="003F7152">
        <w:rPr>
          <w:rFonts w:ascii="Times New Roman" w:eastAsia="MS Mincho" w:hAnsi="Times New Roman"/>
          <w:lang w:eastAsia="ja-JP"/>
        </w:rPr>
        <w:tab/>
        <w:t>“WF on the unified structure of DL sync signal”,</w:t>
      </w:r>
      <w:r w:rsidR="00AA2812" w:rsidRPr="003F7152">
        <w:rPr>
          <w:rFonts w:ascii="Times New Roman" w:eastAsia="MS Mincho" w:hAnsi="Times New Roman"/>
          <w:lang w:eastAsia="ja-JP"/>
        </w:rPr>
        <w:tab/>
        <w:t xml:space="preserve">Intel Corporation, NTT DOCOMO, ZTE, ZTE Microelectronics, ETRI, InterDigital, </w:t>
      </w:r>
      <w:r w:rsidR="00AA2812" w:rsidRPr="003F7152">
        <w:rPr>
          <w:rFonts w:ascii="Times New Roman" w:hAnsi="Times New Roman"/>
        </w:rPr>
        <w:t xml:space="preserve">October </w:t>
      </w:r>
      <w:r w:rsidR="00AA2812">
        <w:rPr>
          <w:rFonts w:ascii="Times New Roman" w:hAnsi="Times New Roman"/>
        </w:rPr>
        <w:t xml:space="preserve">10-14, </w:t>
      </w:r>
      <w:r w:rsidR="00AA2812" w:rsidRPr="003F7152">
        <w:rPr>
          <w:rFonts w:ascii="Times New Roman" w:hAnsi="Times New Roman"/>
        </w:rPr>
        <w:t>2016, Lisbon, Portugal</w:t>
      </w:r>
      <w:r w:rsidR="00AA2812" w:rsidRPr="003F7152">
        <w:rPr>
          <w:rFonts w:ascii="Times New Roman" w:eastAsia="MS Mincho" w:hAnsi="Times New Roman"/>
          <w:lang w:eastAsia="ja-JP"/>
        </w:rPr>
        <w:t xml:space="preserve"> </w:t>
      </w:r>
    </w:p>
    <w:p w14:paraId="6F09F129" w14:textId="7D8446AB" w:rsidR="00AA2812" w:rsidRPr="00D35F34" w:rsidRDefault="00A477F7" w:rsidP="00D35F34">
      <w:pPr>
        <w:pStyle w:val="ListParagraph"/>
        <w:numPr>
          <w:ilvl w:val="0"/>
          <w:numId w:val="16"/>
        </w:numPr>
        <w:rPr>
          <w:rFonts w:ascii="Times New Roman" w:eastAsia="MS Mincho" w:hAnsi="Times New Roman"/>
          <w:lang w:eastAsia="ja-JP"/>
        </w:rPr>
      </w:pPr>
      <w:r w:rsidRPr="00A477F7">
        <w:rPr>
          <w:rFonts w:ascii="Times New Roman" w:eastAsia="MS Mincho" w:hAnsi="Times New Roman"/>
          <w:lang w:eastAsia="ja-JP"/>
        </w:rPr>
        <w:t>R1-1610498</w:t>
      </w:r>
      <w:r w:rsidRPr="007A2F9C">
        <w:rPr>
          <w:rStyle w:val="Hyperlink"/>
          <w:rFonts w:ascii="Times New Roman" w:eastAsia="MS Mincho" w:hAnsi="Times New Roman"/>
          <w:color w:val="auto"/>
          <w:u w:val="none"/>
          <w:lang w:eastAsia="ja-JP"/>
        </w:rPr>
        <w:t>,</w:t>
      </w:r>
      <w:r w:rsidRPr="007A2F9C">
        <w:rPr>
          <w:rFonts w:ascii="Times New Roman" w:eastAsia="MS Mincho" w:hAnsi="Times New Roman"/>
          <w:lang w:eastAsia="ja-JP"/>
        </w:rPr>
        <w:tab/>
        <w:t>“</w:t>
      </w:r>
      <w:r w:rsidRPr="006F49E6">
        <w:rPr>
          <w:rFonts w:ascii="Times New Roman" w:eastAsia="MS Mincho" w:hAnsi="Times New Roman"/>
          <w:lang w:eastAsia="ja-JP"/>
        </w:rPr>
        <w:t>WF on NR initial access signals/channels</w:t>
      </w:r>
      <w:r w:rsidRPr="00A477F7">
        <w:rPr>
          <w:rFonts w:ascii="Times New Roman" w:eastAsia="MS Mincho" w:hAnsi="Times New Roman"/>
          <w:lang w:eastAsia="ja-JP"/>
        </w:rPr>
        <w:t>”,</w:t>
      </w:r>
      <w:r w:rsidRPr="00A477F7">
        <w:rPr>
          <w:rFonts w:ascii="Times New Roman" w:eastAsia="MS Mincho" w:hAnsi="Times New Roman"/>
          <w:lang w:eastAsia="ja-JP"/>
        </w:rPr>
        <w:tab/>
      </w:r>
      <w:r w:rsidRPr="006F49E6">
        <w:rPr>
          <w:rFonts w:ascii="Times New Roman" w:eastAsia="MS Mincho" w:hAnsi="Times New Roman"/>
          <w:lang w:eastAsia="ja-JP"/>
        </w:rPr>
        <w:t>NTT DOCOMO, Intel Corporation, Ericsson, Qualcomm, InterDigital</w:t>
      </w:r>
      <w:r w:rsidRPr="00A477F7">
        <w:rPr>
          <w:rFonts w:ascii="Times New Roman" w:eastAsia="MS Mincho" w:hAnsi="Times New Roman"/>
          <w:lang w:eastAsia="ja-JP"/>
        </w:rPr>
        <w:t xml:space="preserve">, </w:t>
      </w:r>
      <w:r w:rsidRPr="007A2F9C">
        <w:rPr>
          <w:rFonts w:ascii="Times New Roman" w:hAnsi="Times New Roman"/>
        </w:rPr>
        <w:t>October 10-14, 2016, Lisbon, Portugal</w:t>
      </w:r>
      <w:r w:rsidRPr="007A2F9C">
        <w:rPr>
          <w:rFonts w:ascii="Times New Roman" w:eastAsia="MS Mincho" w:hAnsi="Times New Roman"/>
          <w:lang w:eastAsia="ja-JP"/>
        </w:rPr>
        <w:t xml:space="preserve"> </w:t>
      </w:r>
    </w:p>
    <w:p w14:paraId="791FB76A" w14:textId="77777777" w:rsidR="007A2F9C" w:rsidRDefault="007A2F9C" w:rsidP="007A2F9C">
      <w:pPr>
        <w:pStyle w:val="Reference"/>
        <w:numPr>
          <w:ilvl w:val="0"/>
          <w:numId w:val="16"/>
        </w:numPr>
        <w:spacing w:after="0"/>
      </w:pPr>
      <w:bookmarkStart w:id="11" w:name="_Ref458702429"/>
      <w:bookmarkStart w:id="12" w:name="_Ref458702606"/>
      <w:bookmarkStart w:id="13" w:name="_Ref458702426"/>
      <w:r w:rsidRPr="00271EFD">
        <w:rPr>
          <w:szCs w:val="22"/>
        </w:rPr>
        <w:t>R1-</w:t>
      </w:r>
      <w:r w:rsidRPr="00271EFD">
        <w:rPr>
          <w:szCs w:val="22"/>
          <w:lang w:val="en-US"/>
        </w:rPr>
        <w:t>16</w:t>
      </w:r>
      <w:r w:rsidRPr="00271EFD">
        <w:rPr>
          <w:color w:val="000000"/>
          <w:szCs w:val="22"/>
        </w:rPr>
        <w:t>12628</w:t>
      </w:r>
      <w:r w:rsidRPr="00271EFD">
        <w:rPr>
          <w:szCs w:val="22"/>
        </w:rPr>
        <w:t>, “Considerations for DL Broadcast Channel for Initial Access in NR”, Inter</w:t>
      </w:r>
      <w:r w:rsidRPr="001950E1">
        <w:rPr>
          <w:szCs w:val="22"/>
        </w:rPr>
        <w:t>Digital</w:t>
      </w:r>
      <w:r w:rsidRPr="003F7152">
        <w:t>, 3GPP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p>
    <w:p w14:paraId="33976EE9" w14:textId="77777777" w:rsidR="00B32889" w:rsidRDefault="00B32889" w:rsidP="00B32889">
      <w:pPr>
        <w:pStyle w:val="Reference"/>
        <w:numPr>
          <w:ilvl w:val="0"/>
          <w:numId w:val="16"/>
        </w:numPr>
        <w:spacing w:after="0"/>
      </w:pPr>
      <w:bookmarkStart w:id="14" w:name="_Ref458702467"/>
      <w:bookmarkEnd w:id="11"/>
      <w:bookmarkEnd w:id="12"/>
      <w:bookmarkEnd w:id="13"/>
      <w:r>
        <w:t>R1-167286, #86, “</w:t>
      </w:r>
      <w:r w:rsidRPr="00B32889">
        <w:t>Beam Management Procedures in Beam Based Access</w:t>
      </w:r>
      <w:r>
        <w:t xml:space="preserve">”, </w:t>
      </w:r>
      <w:r w:rsidRPr="00B32889">
        <w:t>Nokia, Alcatel-Lucent Shanghai Bell</w:t>
      </w:r>
      <w:r>
        <w:t xml:space="preserve">, </w:t>
      </w:r>
      <w:r w:rsidRPr="00B32889">
        <w:t>Gothenburg, Sweden, August 22-26, 20</w:t>
      </w:r>
      <w:r>
        <w:t>16</w:t>
      </w:r>
    </w:p>
    <w:p w14:paraId="606DCBF2" w14:textId="77777777" w:rsidR="00AA2812" w:rsidRPr="0060538E" w:rsidRDefault="00AA2812" w:rsidP="00AA2812">
      <w:pPr>
        <w:pStyle w:val="Reference"/>
        <w:numPr>
          <w:ilvl w:val="0"/>
          <w:numId w:val="16"/>
        </w:numPr>
        <w:spacing w:after="0"/>
      </w:pPr>
      <w:r w:rsidRPr="00E6522B">
        <w:rPr>
          <w:szCs w:val="22"/>
        </w:rPr>
        <w:t>R1-</w:t>
      </w:r>
      <w:r w:rsidRPr="00E6522B">
        <w:rPr>
          <w:szCs w:val="22"/>
          <w:lang w:val="en-US"/>
        </w:rPr>
        <w:t>16</w:t>
      </w:r>
      <w:r w:rsidRPr="00E6522B">
        <w:rPr>
          <w:color w:val="000000"/>
          <w:szCs w:val="22"/>
        </w:rPr>
        <w:t>12641</w:t>
      </w:r>
      <w:r w:rsidRPr="00E6522B">
        <w:rPr>
          <w:szCs w:val="22"/>
        </w:rPr>
        <w:t>, “Considerations on Beam Recovery for NR”, InterDigital</w:t>
      </w:r>
      <w:r w:rsidRPr="00BC3E32">
        <w:t>, 3GPP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p>
    <w:p w14:paraId="5B0400A0" w14:textId="019E61A1" w:rsidR="00612377" w:rsidRDefault="00612377" w:rsidP="00455A7D">
      <w:pPr>
        <w:pStyle w:val="Reference"/>
        <w:numPr>
          <w:ilvl w:val="0"/>
          <w:numId w:val="16"/>
        </w:numPr>
        <w:spacing w:after="0"/>
      </w:pPr>
      <w:bookmarkStart w:id="15" w:name="_Ref465928293"/>
      <w:bookmarkEnd w:id="14"/>
      <w:r w:rsidRPr="00AA2812">
        <w:rPr>
          <w:szCs w:val="22"/>
        </w:rPr>
        <w:t>R1-16</w:t>
      </w:r>
      <w:r w:rsidR="00AA2812" w:rsidRPr="006F49E6">
        <w:rPr>
          <w:rFonts w:cs="Arial"/>
          <w:color w:val="000000"/>
          <w:szCs w:val="22"/>
        </w:rPr>
        <w:t>12631</w:t>
      </w:r>
      <w:r w:rsidRPr="00AA2812">
        <w:rPr>
          <w:szCs w:val="22"/>
        </w:rPr>
        <w:t>, “</w:t>
      </w:r>
      <w:r w:rsidR="00AA2812" w:rsidRPr="006F49E6">
        <w:rPr>
          <w:szCs w:val="22"/>
        </w:rPr>
        <w:t>Performance Evaluation for Hierarchical Initial Access Design</w:t>
      </w:r>
      <w:r w:rsidRPr="00AA2812">
        <w:rPr>
          <w:szCs w:val="22"/>
        </w:rPr>
        <w:t>”, InterDigital, 3GPP TSG-RAN WG1 Meeting</w:t>
      </w:r>
      <w:r>
        <w:t xml:space="preserve"> #87, Reno, USA, </w:t>
      </w:r>
      <w:r w:rsidR="00AA2812" w:rsidRPr="00E6522B">
        <w:rPr>
          <w:szCs w:val="22"/>
          <w:lang w:val="en-US"/>
        </w:rPr>
        <w:t xml:space="preserve">November </w:t>
      </w:r>
      <w:r w:rsidR="00AA2812">
        <w:rPr>
          <w:szCs w:val="22"/>
          <w:lang w:val="en-US"/>
        </w:rPr>
        <w:t xml:space="preserve">14-18, </w:t>
      </w:r>
      <w:r>
        <w:t>2016</w:t>
      </w:r>
      <w:bookmarkEnd w:id="15"/>
    </w:p>
    <w:p w14:paraId="25A2A42D" w14:textId="77777777" w:rsidR="00AA2812" w:rsidRPr="0060538E" w:rsidRDefault="00AA2812" w:rsidP="00AA2812">
      <w:pPr>
        <w:pStyle w:val="Reference"/>
        <w:numPr>
          <w:ilvl w:val="0"/>
          <w:numId w:val="16"/>
        </w:numPr>
        <w:spacing w:after="0"/>
        <w:rPr>
          <w:szCs w:val="22"/>
        </w:rPr>
      </w:pPr>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InterDigital, 3GPP TSG-RAN WG1 Meeting #87, </w:t>
      </w:r>
      <w:r w:rsidRPr="0060538E">
        <w:rPr>
          <w:szCs w:val="22"/>
          <w:lang w:val="en-US"/>
        </w:rPr>
        <w:t>Reno, USA, November 14-18, 2016</w:t>
      </w:r>
    </w:p>
    <w:p w14:paraId="3C6F742E" w14:textId="77777777" w:rsidR="00AA2812" w:rsidRDefault="00AA2812" w:rsidP="00C471C9">
      <w:pPr>
        <w:pStyle w:val="Reference"/>
        <w:numPr>
          <w:ilvl w:val="0"/>
          <w:numId w:val="0"/>
        </w:numPr>
        <w:spacing w:after="0"/>
      </w:pPr>
    </w:p>
    <w:p w14:paraId="1CF38BCC" w14:textId="77777777" w:rsidR="008910FC" w:rsidRDefault="008910FC" w:rsidP="008910FC">
      <w:pPr>
        <w:pStyle w:val="Reference"/>
        <w:numPr>
          <w:ilvl w:val="0"/>
          <w:numId w:val="0"/>
        </w:numPr>
        <w:spacing w:after="0"/>
        <w:ind w:left="567" w:hanging="567"/>
      </w:pPr>
    </w:p>
    <w:p w14:paraId="4B775668" w14:textId="440F24D3" w:rsidR="00AC11A5" w:rsidRPr="005C7AC4" w:rsidRDefault="008910FC">
      <w:pPr>
        <w:pStyle w:val="Heading1"/>
        <w:numPr>
          <w:ilvl w:val="0"/>
          <w:numId w:val="0"/>
        </w:numPr>
        <w:pBdr>
          <w:top w:val="single" w:sz="12" w:space="4" w:color="auto"/>
        </w:pBdr>
        <w:rPr>
          <w:rFonts w:cs="Arial"/>
          <w:lang w:val="en-US"/>
        </w:rPr>
      </w:pPr>
      <w:r w:rsidRPr="00BA2C33">
        <w:rPr>
          <w:rFonts w:cs="Arial"/>
          <w:lang w:val="en-US"/>
        </w:rPr>
        <w:t>Appendix: Evaluation assumptions</w:t>
      </w:r>
    </w:p>
    <w:p w14:paraId="4646DA17" w14:textId="77777777" w:rsidR="008910FC" w:rsidRDefault="008910FC" w:rsidP="00A114B8">
      <w:pPr>
        <w:pStyle w:val="Reference"/>
        <w:numPr>
          <w:ilvl w:val="0"/>
          <w:numId w:val="0"/>
        </w:numPr>
        <w:spacing w:after="0"/>
        <w:jc w:val="center"/>
      </w:pPr>
    </w:p>
    <w:p w14:paraId="324FA377" w14:textId="16FA1D26" w:rsidR="00AC11A5" w:rsidRDefault="00AC11A5" w:rsidP="00A114B8">
      <w:pPr>
        <w:pStyle w:val="Caption"/>
        <w:keepNext/>
      </w:pPr>
      <w:bookmarkStart w:id="16" w:name="_Ref465929413"/>
      <w:r>
        <w:lastRenderedPageBreak/>
        <w:t xml:space="preserve">Table </w:t>
      </w:r>
      <w:r>
        <w:fldChar w:fldCharType="begin"/>
      </w:r>
      <w:r>
        <w:instrText xml:space="preserve"> SEQ Table \* ARABIC </w:instrText>
      </w:r>
      <w:r>
        <w:fldChar w:fldCharType="separate"/>
      </w:r>
      <w:r w:rsidR="007F3383">
        <w:rPr>
          <w:noProof/>
        </w:rPr>
        <w:t>3</w:t>
      </w:r>
      <w:r>
        <w:fldChar w:fldCharType="end"/>
      </w:r>
      <w:bookmarkEnd w:id="16"/>
      <w:r>
        <w:t>. System Level Simulation Assumptions</w:t>
      </w:r>
    </w:p>
    <w:tbl>
      <w:tblPr>
        <w:tblStyle w:val="TableGrid"/>
        <w:tblW w:w="0" w:type="auto"/>
        <w:tblLook w:val="04A0" w:firstRow="1" w:lastRow="0" w:firstColumn="1" w:lastColumn="0" w:noHBand="0" w:noVBand="1"/>
      </w:tblPr>
      <w:tblGrid>
        <w:gridCol w:w="2875"/>
        <w:gridCol w:w="6754"/>
      </w:tblGrid>
      <w:tr w:rsidR="00AC11A5" w14:paraId="4834BD6E" w14:textId="77777777" w:rsidTr="00C83C28">
        <w:tc>
          <w:tcPr>
            <w:tcW w:w="2875" w:type="dxa"/>
          </w:tcPr>
          <w:p w14:paraId="57255918" w14:textId="77777777" w:rsidR="00AC11A5" w:rsidRPr="00073BA5" w:rsidRDefault="00AC11A5" w:rsidP="00C83C28">
            <w:pPr>
              <w:jc w:val="center"/>
              <w:rPr>
                <w:b/>
              </w:rPr>
            </w:pPr>
            <w:r w:rsidRPr="00073BA5">
              <w:rPr>
                <w:b/>
              </w:rPr>
              <w:t>Parameter</w:t>
            </w:r>
          </w:p>
        </w:tc>
        <w:tc>
          <w:tcPr>
            <w:tcW w:w="6754" w:type="dxa"/>
          </w:tcPr>
          <w:p w14:paraId="4ED7CF33" w14:textId="77777777" w:rsidR="00AC11A5" w:rsidRPr="00073BA5" w:rsidRDefault="00AC11A5" w:rsidP="00C83C28">
            <w:pPr>
              <w:jc w:val="center"/>
              <w:rPr>
                <w:b/>
              </w:rPr>
            </w:pPr>
            <w:r w:rsidRPr="00073BA5">
              <w:rPr>
                <w:b/>
              </w:rPr>
              <w:t>Value(s)/Description</w:t>
            </w:r>
          </w:p>
        </w:tc>
      </w:tr>
      <w:tr w:rsidR="00AC11A5" w14:paraId="153E9316" w14:textId="77777777" w:rsidTr="00C83C28">
        <w:tc>
          <w:tcPr>
            <w:tcW w:w="2875" w:type="dxa"/>
          </w:tcPr>
          <w:p w14:paraId="2A540000" w14:textId="77777777" w:rsidR="00AC11A5" w:rsidRDefault="00AC11A5" w:rsidP="00C83C28">
            <w:r>
              <w:t>Evaluation Methodology</w:t>
            </w:r>
          </w:p>
        </w:tc>
        <w:tc>
          <w:tcPr>
            <w:tcW w:w="6754" w:type="dxa"/>
          </w:tcPr>
          <w:p w14:paraId="7390CE13" w14:textId="77777777" w:rsidR="00AC11A5" w:rsidRDefault="00AC11A5" w:rsidP="00C83C28">
            <w:r>
              <w:t>System Level Analysis</w:t>
            </w:r>
          </w:p>
        </w:tc>
      </w:tr>
      <w:tr w:rsidR="00AC11A5" w14:paraId="6D3DFD2E" w14:textId="77777777" w:rsidTr="00C83C28">
        <w:tc>
          <w:tcPr>
            <w:tcW w:w="2875" w:type="dxa"/>
          </w:tcPr>
          <w:p w14:paraId="1C9D60ED" w14:textId="77777777" w:rsidR="00AC11A5" w:rsidRDefault="00AC11A5" w:rsidP="00C83C28">
            <w:r>
              <w:t>Channel Model and Scenario</w:t>
            </w:r>
          </w:p>
        </w:tc>
        <w:tc>
          <w:tcPr>
            <w:tcW w:w="6754" w:type="dxa"/>
          </w:tcPr>
          <w:p w14:paraId="5C9C24D6" w14:textId="77777777" w:rsidR="00AC11A5" w:rsidRDefault="00AC11A5" w:rsidP="00C83C28">
            <w:r>
              <w:t>3GPP TR 38.900 v 14.1.0 5GCM, UMi-Street Canyon</w:t>
            </w:r>
          </w:p>
        </w:tc>
      </w:tr>
      <w:tr w:rsidR="00AC11A5" w14:paraId="225A5AD7" w14:textId="77777777" w:rsidTr="00C83C28">
        <w:tc>
          <w:tcPr>
            <w:tcW w:w="2875" w:type="dxa"/>
          </w:tcPr>
          <w:p w14:paraId="7E26CCF0" w14:textId="77777777" w:rsidR="00AC11A5" w:rsidRDefault="00AC11A5" w:rsidP="00C83C28">
            <w:r>
              <w:t>Percentage of Outdoor UEs</w:t>
            </w:r>
          </w:p>
        </w:tc>
        <w:tc>
          <w:tcPr>
            <w:tcW w:w="6754" w:type="dxa"/>
          </w:tcPr>
          <w:p w14:paraId="3190FD83" w14:textId="77777777" w:rsidR="00AC11A5" w:rsidRDefault="00AC11A5" w:rsidP="00C83C28">
            <w:r>
              <w:t>100%</w:t>
            </w:r>
          </w:p>
        </w:tc>
      </w:tr>
      <w:tr w:rsidR="00AC11A5" w14:paraId="68E907DE" w14:textId="77777777" w:rsidTr="00C83C28">
        <w:tc>
          <w:tcPr>
            <w:tcW w:w="2875" w:type="dxa"/>
          </w:tcPr>
          <w:p w14:paraId="7F5BB22F" w14:textId="77777777" w:rsidR="00AC11A5" w:rsidRDefault="00AC11A5" w:rsidP="00C83C28">
            <w:r>
              <w:t>Carrier Frequency</w:t>
            </w:r>
          </w:p>
        </w:tc>
        <w:tc>
          <w:tcPr>
            <w:tcW w:w="6754" w:type="dxa"/>
          </w:tcPr>
          <w:p w14:paraId="7BCFAB3C" w14:textId="77777777" w:rsidR="00AC11A5" w:rsidRDefault="00AC11A5" w:rsidP="00C83C28">
            <w:r>
              <w:t>30 GHz</w:t>
            </w:r>
          </w:p>
        </w:tc>
      </w:tr>
      <w:tr w:rsidR="00AC11A5" w14:paraId="3498DD50" w14:textId="77777777" w:rsidTr="00C83C28">
        <w:tc>
          <w:tcPr>
            <w:tcW w:w="2875" w:type="dxa"/>
          </w:tcPr>
          <w:p w14:paraId="4EDFBF37" w14:textId="77777777" w:rsidR="00AC11A5" w:rsidRDefault="00AC11A5" w:rsidP="00C83C28">
            <w:r>
              <w:t>Bandwidth</w:t>
            </w:r>
          </w:p>
        </w:tc>
        <w:tc>
          <w:tcPr>
            <w:tcW w:w="6754" w:type="dxa"/>
          </w:tcPr>
          <w:p w14:paraId="78B78C93" w14:textId="77777777" w:rsidR="00AC11A5" w:rsidRDefault="00AC11A5" w:rsidP="00C83C28">
            <w:r>
              <w:t>100 MHz</w:t>
            </w:r>
          </w:p>
        </w:tc>
      </w:tr>
      <w:tr w:rsidR="00AC11A5" w14:paraId="04F7DE7D" w14:textId="77777777" w:rsidTr="00C83C28">
        <w:tc>
          <w:tcPr>
            <w:tcW w:w="2875" w:type="dxa"/>
          </w:tcPr>
          <w:p w14:paraId="676F0DEB" w14:textId="77777777" w:rsidR="00AC11A5" w:rsidRDefault="00AC11A5" w:rsidP="00C83C28">
            <w:r>
              <w:t>Number of Sites</w:t>
            </w:r>
          </w:p>
        </w:tc>
        <w:tc>
          <w:tcPr>
            <w:tcW w:w="6754" w:type="dxa"/>
          </w:tcPr>
          <w:p w14:paraId="2A75D1A1" w14:textId="77777777" w:rsidR="00AC11A5" w:rsidRDefault="00AC11A5" w:rsidP="00C83C28">
            <w:r>
              <w:t>7</w:t>
            </w:r>
          </w:p>
        </w:tc>
      </w:tr>
      <w:tr w:rsidR="00AC11A5" w14:paraId="30CD6851" w14:textId="77777777" w:rsidTr="00C83C28">
        <w:tc>
          <w:tcPr>
            <w:tcW w:w="2875" w:type="dxa"/>
          </w:tcPr>
          <w:p w14:paraId="341F2273" w14:textId="77777777" w:rsidR="00AC11A5" w:rsidRDefault="00AC11A5" w:rsidP="00C83C28">
            <w:r>
              <w:t>Sectors Per Site</w:t>
            </w:r>
          </w:p>
        </w:tc>
        <w:tc>
          <w:tcPr>
            <w:tcW w:w="6754" w:type="dxa"/>
          </w:tcPr>
          <w:p w14:paraId="297962BB" w14:textId="77777777" w:rsidR="00AC11A5" w:rsidRDefault="00AC11A5" w:rsidP="00C83C28">
            <w:r>
              <w:t>3</w:t>
            </w:r>
          </w:p>
        </w:tc>
      </w:tr>
      <w:tr w:rsidR="00AC11A5" w14:paraId="77104D38" w14:textId="77777777" w:rsidTr="00C83C28">
        <w:tc>
          <w:tcPr>
            <w:tcW w:w="2875" w:type="dxa"/>
          </w:tcPr>
          <w:p w14:paraId="5327B0BC" w14:textId="77777777" w:rsidR="00AC11A5" w:rsidRDefault="00AC11A5" w:rsidP="00C83C28">
            <w:r>
              <w:t>Number of UEs per Sector</w:t>
            </w:r>
          </w:p>
        </w:tc>
        <w:tc>
          <w:tcPr>
            <w:tcW w:w="6754" w:type="dxa"/>
          </w:tcPr>
          <w:p w14:paraId="34B3F6D0" w14:textId="0B3F2753" w:rsidR="00AC11A5" w:rsidRDefault="00C94452" w:rsidP="00C83C28">
            <w:r>
              <w:t xml:space="preserve">Low density = 4, Medium density = </w:t>
            </w:r>
            <w:r w:rsidR="00AC11A5">
              <w:t>10</w:t>
            </w:r>
            <w:r>
              <w:t>, High density = 20</w:t>
            </w:r>
          </w:p>
        </w:tc>
      </w:tr>
      <w:tr w:rsidR="00C94452" w14:paraId="5A2371E8" w14:textId="77777777" w:rsidTr="00C83C28">
        <w:tc>
          <w:tcPr>
            <w:tcW w:w="2875" w:type="dxa"/>
          </w:tcPr>
          <w:p w14:paraId="16AE9DA3" w14:textId="27DC2E7B" w:rsidR="00C94452" w:rsidRPr="00363A2A" w:rsidRDefault="00C94452" w:rsidP="00C83C28">
            <w:r w:rsidRPr="00363A2A">
              <w:t xml:space="preserve">UE distribution </w:t>
            </w:r>
          </w:p>
        </w:tc>
        <w:tc>
          <w:tcPr>
            <w:tcW w:w="6754" w:type="dxa"/>
          </w:tcPr>
          <w:p w14:paraId="063381CC" w14:textId="7FDE288C" w:rsidR="00C94452" w:rsidRPr="00363A2A" w:rsidRDefault="005C7AC4" w:rsidP="00A114B8">
            <w:pPr>
              <w:pStyle w:val="ListParagraph"/>
              <w:numPr>
                <w:ilvl w:val="0"/>
                <w:numId w:val="27"/>
              </w:numPr>
              <w:rPr>
                <w:rFonts w:ascii="Times New Roman" w:hAnsi="Times New Roman"/>
              </w:rPr>
            </w:pPr>
            <w:r w:rsidRPr="00363A2A">
              <w:rPr>
                <w:rFonts w:ascii="Times New Roman" w:hAnsi="Times New Roman"/>
              </w:rPr>
              <w:t>Uniformly distributed in cell c</w:t>
            </w:r>
            <w:r w:rsidR="00C94452" w:rsidRPr="00363A2A">
              <w:rPr>
                <w:rFonts w:ascii="Times New Roman" w:hAnsi="Times New Roman"/>
              </w:rPr>
              <w:t>enter between 10 and 40 m from site</w:t>
            </w:r>
          </w:p>
          <w:p w14:paraId="43E242A4" w14:textId="13D27058" w:rsidR="00C94452" w:rsidRPr="00363A2A" w:rsidRDefault="00C94452" w:rsidP="00A114B8">
            <w:pPr>
              <w:pStyle w:val="ListParagraph"/>
              <w:numPr>
                <w:ilvl w:val="0"/>
                <w:numId w:val="27"/>
              </w:numPr>
              <w:rPr>
                <w:rFonts w:ascii="Times New Roman" w:hAnsi="Times New Roman"/>
              </w:rPr>
            </w:pPr>
            <w:r w:rsidRPr="00363A2A">
              <w:rPr>
                <w:rFonts w:ascii="Times New Roman" w:hAnsi="Times New Roman"/>
              </w:rPr>
              <w:t>Non-Uniform</w:t>
            </w:r>
            <w:r w:rsidR="005C7AC4" w:rsidRPr="00363A2A">
              <w:rPr>
                <w:rFonts w:ascii="Times New Roman" w:hAnsi="Times New Roman"/>
              </w:rPr>
              <w:t>ly distributed in a 30° angular width region in the cell center between 10 and 40 m from the site</w:t>
            </w:r>
            <w:r w:rsidRPr="00363A2A">
              <w:rPr>
                <w:rFonts w:ascii="Times New Roman" w:hAnsi="Times New Roman"/>
              </w:rPr>
              <w:t xml:space="preserve"> </w:t>
            </w:r>
          </w:p>
        </w:tc>
      </w:tr>
      <w:tr w:rsidR="00AC11A5" w14:paraId="12F6EE53" w14:textId="77777777" w:rsidTr="00C83C28">
        <w:tc>
          <w:tcPr>
            <w:tcW w:w="2875" w:type="dxa"/>
          </w:tcPr>
          <w:p w14:paraId="67A7B558" w14:textId="77777777" w:rsidR="00AC11A5" w:rsidRDefault="00AC11A5" w:rsidP="00C83C28">
            <w:r>
              <w:t xml:space="preserve">Number of Synch Resource Blocks </w:t>
            </w:r>
          </w:p>
        </w:tc>
        <w:tc>
          <w:tcPr>
            <w:tcW w:w="6754" w:type="dxa"/>
          </w:tcPr>
          <w:p w14:paraId="27E4E376" w14:textId="4655636A" w:rsidR="00AC11A5" w:rsidRDefault="00AC11A5" w:rsidP="00F73A7E">
            <w:r>
              <w:t>6</w:t>
            </w:r>
            <w:r w:rsidR="00FD0FBA">
              <w:t xml:space="preserve"> </w:t>
            </w:r>
          </w:p>
        </w:tc>
      </w:tr>
      <w:tr w:rsidR="00AC11A5" w14:paraId="6DCBF317" w14:textId="77777777" w:rsidTr="00C83C28">
        <w:tc>
          <w:tcPr>
            <w:tcW w:w="2875" w:type="dxa"/>
          </w:tcPr>
          <w:p w14:paraId="2621B26E" w14:textId="77777777" w:rsidR="00AC11A5" w:rsidRDefault="00AC11A5" w:rsidP="00C83C28">
            <w:r>
              <w:t>Sync Period</w:t>
            </w:r>
          </w:p>
        </w:tc>
        <w:tc>
          <w:tcPr>
            <w:tcW w:w="6754" w:type="dxa"/>
          </w:tcPr>
          <w:p w14:paraId="75C6FC5A" w14:textId="77777777" w:rsidR="00AC11A5" w:rsidRDefault="00AC11A5" w:rsidP="00C83C28">
            <w:r>
              <w:t>5 ms</w:t>
            </w:r>
          </w:p>
        </w:tc>
      </w:tr>
      <w:tr w:rsidR="00AC11A5" w14:paraId="3FF2CCF5" w14:textId="77777777" w:rsidTr="00C83C28">
        <w:tc>
          <w:tcPr>
            <w:tcW w:w="2875" w:type="dxa"/>
          </w:tcPr>
          <w:p w14:paraId="4439B6DC" w14:textId="77777777" w:rsidR="00AC11A5" w:rsidRDefault="00AC11A5" w:rsidP="00C83C28">
            <w:r>
              <w:t>Base Station Antenna Element</w:t>
            </w:r>
          </w:p>
        </w:tc>
        <w:tc>
          <w:tcPr>
            <w:tcW w:w="6754" w:type="dxa"/>
          </w:tcPr>
          <w:p w14:paraId="7528F959" w14:textId="77777777" w:rsidR="00AC11A5" w:rsidRDefault="00AC11A5" w:rsidP="00C83C28">
            <w:r>
              <w:t>HPBW = 65</w:t>
            </w:r>
            <w:r>
              <w:rPr>
                <w:rFonts w:ascii="Arial" w:hAnsi="Arial" w:cs="Arial"/>
              </w:rPr>
              <w:t xml:space="preserve">°, </w:t>
            </w:r>
            <w:r>
              <w:t xml:space="preserve">Directivity = 8 dB </w:t>
            </w:r>
          </w:p>
        </w:tc>
      </w:tr>
      <w:tr w:rsidR="00AC11A5" w14:paraId="0E1004EA" w14:textId="77777777" w:rsidTr="00C83C28">
        <w:tc>
          <w:tcPr>
            <w:tcW w:w="2875" w:type="dxa"/>
          </w:tcPr>
          <w:p w14:paraId="60ADB622" w14:textId="77777777" w:rsidR="00AC11A5" w:rsidRDefault="00AC11A5" w:rsidP="00C83C28">
            <w:r>
              <w:t>UE Antenna Element</w:t>
            </w:r>
          </w:p>
        </w:tc>
        <w:tc>
          <w:tcPr>
            <w:tcW w:w="6754" w:type="dxa"/>
          </w:tcPr>
          <w:p w14:paraId="03311C1C" w14:textId="77777777" w:rsidR="00AC11A5" w:rsidRDefault="00AC11A5" w:rsidP="00C83C28">
            <w:r>
              <w:t>HPBW = 90</w:t>
            </w:r>
            <w:r>
              <w:rPr>
                <w:rFonts w:ascii="Arial" w:hAnsi="Arial" w:cs="Arial"/>
              </w:rPr>
              <w:t xml:space="preserve">°, </w:t>
            </w:r>
            <w:r>
              <w:t>Directivity = 5 dB</w:t>
            </w:r>
          </w:p>
        </w:tc>
      </w:tr>
      <w:tr w:rsidR="00AC11A5" w14:paraId="34A4D3B6" w14:textId="77777777" w:rsidTr="00C83C28">
        <w:tc>
          <w:tcPr>
            <w:tcW w:w="2875" w:type="dxa"/>
          </w:tcPr>
          <w:p w14:paraId="179934F8" w14:textId="77777777" w:rsidR="00AC11A5" w:rsidRDefault="00AC11A5" w:rsidP="00C83C28">
            <w:r>
              <w:t>Sector Antenna Configuration</w:t>
            </w:r>
          </w:p>
        </w:tc>
        <w:tc>
          <w:tcPr>
            <w:tcW w:w="6754" w:type="dxa"/>
          </w:tcPr>
          <w:p w14:paraId="6B91BBCC" w14:textId="65CC5E1C" w:rsidR="00AC11A5" w:rsidRDefault="00586151" w:rsidP="00C83C28">
            <w:r>
              <w:t>(M, N, P, Mg, Ng) = (4,8,2</w:t>
            </w:r>
            <w:r w:rsidR="00AC11A5">
              <w:t xml:space="preserve">,1,1) </w:t>
            </w:r>
          </w:p>
          <w:p w14:paraId="01EE7901" w14:textId="2AA913CB" w:rsidR="00AC11A5" w:rsidRDefault="00AC11A5" w:rsidP="00C83C28">
            <w:r>
              <w:t xml:space="preserve">(dv, </w:t>
            </w:r>
            <w:proofErr w:type="spellStart"/>
            <w:r>
              <w:t>d</w:t>
            </w:r>
            <w:r w:rsidRPr="00C049D1">
              <w:rPr>
                <w:vertAlign w:val="subscript"/>
              </w:rPr>
              <w:t>H</w:t>
            </w:r>
            <w:proofErr w:type="spellEnd"/>
            <w:r>
              <w:t>) = (0.5, 0.5)</w:t>
            </w:r>
            <w:r>
              <w:rPr>
                <w:rFonts w:ascii="Arial" w:hAnsi="Arial" w:cs="Arial"/>
              </w:rPr>
              <w:t>λ</w:t>
            </w:r>
          </w:p>
        </w:tc>
      </w:tr>
      <w:tr w:rsidR="00AC11A5" w14:paraId="536E09EA" w14:textId="77777777" w:rsidTr="00C83C28">
        <w:tc>
          <w:tcPr>
            <w:tcW w:w="2875" w:type="dxa"/>
          </w:tcPr>
          <w:p w14:paraId="325AB760" w14:textId="77777777" w:rsidR="00AC11A5" w:rsidRDefault="00AC11A5" w:rsidP="00C83C28">
            <w:r>
              <w:t>UE Antenna Configurations</w:t>
            </w:r>
          </w:p>
        </w:tc>
        <w:tc>
          <w:tcPr>
            <w:tcW w:w="6754" w:type="dxa"/>
          </w:tcPr>
          <w:p w14:paraId="5D39A894" w14:textId="3EA89E44" w:rsidR="00AC11A5" w:rsidRDefault="00586151" w:rsidP="00C83C28">
            <w:r>
              <w:t>(M, N, P, Mg, Ng) = (2,4,2</w:t>
            </w:r>
            <w:r w:rsidR="00AC11A5">
              <w:t>,2</w:t>
            </w:r>
            <w:r>
              <w:t>,</w:t>
            </w:r>
            <w:r w:rsidR="00AC11A5">
              <w:t>1)</w:t>
            </w:r>
          </w:p>
          <w:p w14:paraId="08051348" w14:textId="77777777" w:rsidR="00AC11A5" w:rsidRDefault="00AC11A5" w:rsidP="00C83C28">
            <w:r>
              <w:t>(dv, d</w:t>
            </w:r>
            <w:r w:rsidRPr="00C049D1">
              <w:rPr>
                <w:vertAlign w:val="subscript"/>
              </w:rPr>
              <w:t>H</w:t>
            </w:r>
            <w:r>
              <w:t>) = (0.5, 0.5)</w:t>
            </w:r>
            <w:r>
              <w:rPr>
                <w:rFonts w:ascii="Arial" w:hAnsi="Arial" w:cs="Arial"/>
              </w:rPr>
              <w:t>λ</w:t>
            </w:r>
          </w:p>
          <w:p w14:paraId="45C158A5" w14:textId="77777777" w:rsidR="00AC11A5" w:rsidRDefault="00AC11A5" w:rsidP="00C83C28">
            <w:pPr>
              <w:rPr>
                <w:rFonts w:ascii="Arial" w:hAnsi="Arial" w:cs="Arial"/>
              </w:rPr>
            </w:pPr>
            <w:r>
              <w:t>(d</w:t>
            </w:r>
            <w:r w:rsidRPr="00C049D1">
              <w:rPr>
                <w:vertAlign w:val="subscript"/>
              </w:rPr>
              <w:t>gv</w:t>
            </w:r>
            <w:r>
              <w:t>, d</w:t>
            </w:r>
            <w:r w:rsidRPr="00C049D1">
              <w:rPr>
                <w:vertAlign w:val="subscript"/>
              </w:rPr>
              <w:t>gH</w:t>
            </w:r>
            <w:r>
              <w:t>) = (0.0, 0.0)</w:t>
            </w:r>
            <w:r>
              <w:rPr>
                <w:rFonts w:ascii="Arial" w:hAnsi="Arial" w:cs="Arial"/>
              </w:rPr>
              <w:t>λ</w:t>
            </w:r>
          </w:p>
          <w:p w14:paraId="4366A252" w14:textId="26F29A1D" w:rsidR="00AC11A5" w:rsidRPr="005C7AC4" w:rsidRDefault="00E879A2" w:rsidP="00C83C28">
            <m:oMathPara>
              <m:oMathParaPr>
                <m:jc m:val="left"/>
              </m:oMathParaPr>
              <m:oMath>
                <m:sSub>
                  <m:sSubPr>
                    <m:ctrlPr>
                      <w:rPr>
                        <w:rFonts w:ascii="Cambria Math" w:hAnsi="Cambria Math"/>
                        <w:i/>
                      </w:rPr>
                    </m:ctrlPr>
                  </m:sSubPr>
                  <m:e>
                    <m:r>
                      <m:rPr>
                        <m:sty m:val="p"/>
                      </m:rPr>
                      <w:rPr>
                        <w:rFonts w:ascii="Cambria Math" w:hAnsi="Cambria Math"/>
                      </w:rPr>
                      <m:t>Ω</m:t>
                    </m:r>
                  </m:e>
                  <m:sub>
                    <m:r>
                      <w:rPr>
                        <w:rFonts w:ascii="Cambria Math" w:hAnsi="Cambria Math"/>
                      </w:rPr>
                      <m:t>mg,ng</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α</m:t>
                    </m:r>
                  </m:e>
                  <m:sub>
                    <m:r>
                      <w:rPr>
                        <w:rFonts w:ascii="Cambria Math" w:hAnsi="Cambria Math"/>
                      </w:rPr>
                      <m:t>0,0</m:t>
                    </m:r>
                  </m:sub>
                </m:sSub>
                <m:r>
                  <w:rPr>
                    <w:rFonts w:ascii="Cambria Math" w:hAnsi="Cambria Math"/>
                  </w:rPr>
                  <m:t xml:space="preserve">=0°, </m:t>
                </m:r>
                <m:sSub>
                  <m:sSubPr>
                    <m:ctrlPr>
                      <w:rPr>
                        <w:rFonts w:ascii="Cambria Math" w:hAnsi="Cambria Math"/>
                        <w:i/>
                      </w:rPr>
                    </m:ctrlPr>
                  </m:sSubPr>
                  <m:e>
                    <m:r>
                      <m:rPr>
                        <m:sty m:val="p"/>
                      </m:rPr>
                      <w:rPr>
                        <w:rFonts w:ascii="Cambria Math" w:hAnsi="Cambria Math"/>
                      </w:rPr>
                      <m:t>α</m:t>
                    </m:r>
                  </m:e>
                  <m:sub>
                    <m:r>
                      <w:rPr>
                        <w:rFonts w:ascii="Cambria Math" w:hAnsi="Cambria Math"/>
                      </w:rPr>
                      <m:t>1,0</m:t>
                    </m:r>
                  </m:sub>
                </m:sSub>
                <m:r>
                  <w:rPr>
                    <w:rFonts w:ascii="Cambria Math" w:hAnsi="Cambria Math"/>
                  </w:rPr>
                  <m:t>=180</m:t>
                </m:r>
                <m:r>
                  <w:rPr>
                    <w:rFonts w:ascii="Cambria Math" w:hAnsi="Cambria Math" w:hint="eastAsia"/>
                  </w:rPr>
                  <m:t>°</m:t>
                </m:r>
              </m:oMath>
            </m:oMathPara>
          </w:p>
        </w:tc>
      </w:tr>
      <w:tr w:rsidR="00AC11A5" w14:paraId="1A0F5900" w14:textId="77777777" w:rsidTr="00C83C28">
        <w:tc>
          <w:tcPr>
            <w:tcW w:w="2875" w:type="dxa"/>
          </w:tcPr>
          <w:p w14:paraId="3F7F45F3" w14:textId="77777777" w:rsidR="00AC11A5" w:rsidRDefault="00AC11A5" w:rsidP="00C83C28">
            <w:r>
              <w:t>Beamforming Weights</w:t>
            </w:r>
          </w:p>
        </w:tc>
        <w:tc>
          <w:tcPr>
            <w:tcW w:w="6754" w:type="dxa"/>
          </w:tcPr>
          <w:p w14:paraId="10AB635B" w14:textId="77777777" w:rsidR="00AC11A5" w:rsidRDefault="00AC11A5" w:rsidP="00C83C28">
            <w:r>
              <w:t>Phased Weighting</w:t>
            </w:r>
          </w:p>
        </w:tc>
      </w:tr>
      <w:tr w:rsidR="00AC11A5" w14:paraId="1993B64D" w14:textId="77777777" w:rsidTr="00C83C28">
        <w:tc>
          <w:tcPr>
            <w:tcW w:w="2875" w:type="dxa"/>
          </w:tcPr>
          <w:p w14:paraId="59D61EA7" w14:textId="77777777" w:rsidR="00AC11A5" w:rsidRDefault="00AC11A5" w:rsidP="00C83C28">
            <w:r>
              <w:t>Sector Beam Directions</w:t>
            </w:r>
          </w:p>
        </w:tc>
        <w:tc>
          <w:tcPr>
            <w:tcW w:w="6754" w:type="dxa"/>
          </w:tcPr>
          <w:p w14:paraId="0662DBB7" w14:textId="77777777" w:rsidR="00AC11A5" w:rsidRDefault="00AC11A5" w:rsidP="00C83C28">
            <w:r>
              <w:t>Azimuth = [-60:15:60], Elevation = [100, 120]</w:t>
            </w:r>
          </w:p>
        </w:tc>
      </w:tr>
      <w:tr w:rsidR="00AC11A5" w14:paraId="29E4C242" w14:textId="77777777" w:rsidTr="00C83C28">
        <w:tc>
          <w:tcPr>
            <w:tcW w:w="2875" w:type="dxa"/>
          </w:tcPr>
          <w:p w14:paraId="52C57200" w14:textId="77777777" w:rsidR="00AC11A5" w:rsidRDefault="00AC11A5" w:rsidP="00C83C28">
            <w:r>
              <w:lastRenderedPageBreak/>
              <w:t>UE Narrow Beam Directions Per Panel, Single Stage</w:t>
            </w:r>
          </w:p>
        </w:tc>
        <w:tc>
          <w:tcPr>
            <w:tcW w:w="6754" w:type="dxa"/>
          </w:tcPr>
          <w:p w14:paraId="7BB35585" w14:textId="4B0D4D51" w:rsidR="00AC11A5" w:rsidRDefault="00AC11A5" w:rsidP="00C83C28">
            <w:r>
              <w:t>Azimu</w:t>
            </w:r>
            <w:r w:rsidR="006D52DF">
              <w:t>th = [-60:20:60], Elevation = [8</w:t>
            </w:r>
            <w:r>
              <w:t>0, 60]</w:t>
            </w:r>
          </w:p>
        </w:tc>
      </w:tr>
      <w:tr w:rsidR="00AC11A5" w14:paraId="081FEA97" w14:textId="77777777" w:rsidTr="00C83C28">
        <w:tc>
          <w:tcPr>
            <w:tcW w:w="2875" w:type="dxa"/>
          </w:tcPr>
          <w:p w14:paraId="1B294713" w14:textId="77777777" w:rsidR="00AC11A5" w:rsidRDefault="00AC11A5" w:rsidP="00C83C28">
            <w:r>
              <w:t>UE Orientation</w:t>
            </w:r>
          </w:p>
        </w:tc>
        <w:tc>
          <w:tcPr>
            <w:tcW w:w="6754" w:type="dxa"/>
          </w:tcPr>
          <w:p w14:paraId="1998707B" w14:textId="77777777" w:rsidR="00AC11A5" w:rsidRDefault="00AC11A5" w:rsidP="00C83C28">
            <m:oMath>
              <m:r>
                <w:rPr>
                  <w:rFonts w:ascii="Cambria Math" w:hAnsi="Cambria Math"/>
                </w:rPr>
                <m:t>α</m:t>
              </m:r>
            </m:oMath>
            <w:r>
              <w:rPr>
                <w:rFonts w:eastAsiaTheme="minorEastAsia"/>
              </w:rPr>
              <w:t>: U[0,360]</w:t>
            </w:r>
            <w:r>
              <w:rPr>
                <w:rFonts w:ascii="Arial" w:eastAsiaTheme="minorEastAsia" w:hAnsi="Arial" w:cs="Arial"/>
              </w:rPr>
              <w:t>°</w:t>
            </w:r>
            <w:r>
              <w:rPr>
                <w:rFonts w:eastAsiaTheme="minorEastAsia"/>
              </w:rPr>
              <w:t xml:space="preserve">, </w:t>
            </w:r>
            <m:oMath>
              <m:r>
                <w:rPr>
                  <w:rFonts w:ascii="Cambria Math" w:eastAsiaTheme="minorEastAsia" w:hAnsi="Cambria Math"/>
                </w:rPr>
                <m:t>β</m:t>
              </m:r>
            </m:oMath>
            <w:r>
              <w:rPr>
                <w:rFonts w:eastAsiaTheme="minorEastAsia"/>
              </w:rPr>
              <w:t>: 90</w:t>
            </w:r>
            <w:r>
              <w:rPr>
                <w:rFonts w:ascii="Arial" w:eastAsiaTheme="minorEastAsia" w:hAnsi="Arial" w:cs="Arial"/>
              </w:rPr>
              <w:t>°</w:t>
            </w:r>
            <w:r>
              <w:rPr>
                <w:rFonts w:eastAsiaTheme="minorEastAsia"/>
              </w:rPr>
              <w:t xml:space="preserve">, </w:t>
            </w:r>
            <m:oMath>
              <m:r>
                <w:rPr>
                  <w:rFonts w:ascii="Cambria Math" w:eastAsiaTheme="minorEastAsia" w:hAnsi="Cambria Math"/>
                </w:rPr>
                <m:t>γ</m:t>
              </m:r>
            </m:oMath>
            <w:r>
              <w:rPr>
                <w:rFonts w:eastAsiaTheme="minorEastAsia"/>
              </w:rPr>
              <w:t>: 0</w:t>
            </w:r>
            <w:r>
              <w:rPr>
                <w:rFonts w:ascii="Arial" w:eastAsiaTheme="minorEastAsia" w:hAnsi="Arial" w:cs="Arial"/>
              </w:rPr>
              <w:t>°</w:t>
            </w:r>
          </w:p>
        </w:tc>
      </w:tr>
    </w:tbl>
    <w:p w14:paraId="7BD01575" w14:textId="77777777" w:rsidR="00AC11A5" w:rsidRDefault="00AC11A5" w:rsidP="00A114B8">
      <w:pPr>
        <w:pStyle w:val="Reference"/>
        <w:numPr>
          <w:ilvl w:val="0"/>
          <w:numId w:val="0"/>
        </w:numPr>
        <w:spacing w:after="0"/>
        <w:jc w:val="center"/>
      </w:pPr>
    </w:p>
    <w:sectPr w:rsidR="00AC11A5"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0DCE4" w14:textId="77777777" w:rsidR="00251E63" w:rsidRDefault="00251E63">
      <w:r>
        <w:separator/>
      </w:r>
    </w:p>
  </w:endnote>
  <w:endnote w:type="continuationSeparator" w:id="0">
    <w:p w14:paraId="7E8D12AD" w14:textId="77777777" w:rsidR="00251E63" w:rsidRDefault="00251E63">
      <w:r>
        <w:continuationSeparator/>
      </w:r>
    </w:p>
  </w:endnote>
  <w:endnote w:type="continuationNotice" w:id="1">
    <w:p w14:paraId="2E181A5F" w14:textId="77777777" w:rsidR="00251E63" w:rsidRDefault="00251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6E61C" w14:textId="77777777" w:rsidR="00E879A2" w:rsidRDefault="00E879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9E4648E" w:rsidR="00F86EE3" w:rsidRPr="00E879A2" w:rsidRDefault="00F86EE3" w:rsidP="00E879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58B9" w14:textId="77777777" w:rsidR="00E879A2" w:rsidRDefault="00E879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3DDD8" w14:textId="77777777" w:rsidR="00251E63" w:rsidRDefault="00251E63">
      <w:r>
        <w:separator/>
      </w:r>
    </w:p>
  </w:footnote>
  <w:footnote w:type="continuationSeparator" w:id="0">
    <w:p w14:paraId="6D0879E0" w14:textId="77777777" w:rsidR="00251E63" w:rsidRDefault="00251E63">
      <w:r>
        <w:continuationSeparator/>
      </w:r>
    </w:p>
  </w:footnote>
  <w:footnote w:type="continuationNotice" w:id="1">
    <w:p w14:paraId="064547E6" w14:textId="77777777" w:rsidR="00251E63" w:rsidRDefault="00251E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37CCE" w14:textId="77777777" w:rsidR="00E879A2" w:rsidRDefault="00E879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27E5C" w14:textId="77777777" w:rsidR="00E879A2" w:rsidRDefault="00E879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98BD3" w14:textId="77777777" w:rsidR="00E879A2" w:rsidRDefault="00E879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1"/>
  </w:num>
  <w:num w:numId="4">
    <w:abstractNumId w:val="12"/>
  </w:num>
  <w:num w:numId="5">
    <w:abstractNumId w:val="8"/>
  </w:num>
  <w:num w:numId="6">
    <w:abstractNumId w:val="15"/>
  </w:num>
  <w:num w:numId="7">
    <w:abstractNumId w:val="20"/>
  </w:num>
  <w:num w:numId="8">
    <w:abstractNumId w:val="9"/>
  </w:num>
  <w:num w:numId="9">
    <w:abstractNumId w:val="24"/>
  </w:num>
  <w:num w:numId="10">
    <w:abstractNumId w:val="4"/>
  </w:num>
  <w:num w:numId="11">
    <w:abstractNumId w:val="1"/>
  </w:num>
  <w:num w:numId="12">
    <w:abstractNumId w:val="17"/>
  </w:num>
  <w:num w:numId="13">
    <w:abstractNumId w:val="21"/>
  </w:num>
  <w:num w:numId="14">
    <w:abstractNumId w:val="2"/>
  </w:num>
  <w:num w:numId="15">
    <w:abstractNumId w:val="0"/>
  </w:num>
  <w:num w:numId="16">
    <w:abstractNumId w:val="10"/>
  </w:num>
  <w:num w:numId="17">
    <w:abstractNumId w:val="23"/>
  </w:num>
  <w:num w:numId="18">
    <w:abstractNumId w:val="22"/>
  </w:num>
  <w:num w:numId="19">
    <w:abstractNumId w:val="7"/>
  </w:num>
  <w:num w:numId="20">
    <w:abstractNumId w:val="3"/>
  </w:num>
  <w:num w:numId="21">
    <w:abstractNumId w:val="18"/>
  </w:num>
  <w:num w:numId="22">
    <w:abstractNumId w:val="6"/>
  </w:num>
  <w:num w:numId="23">
    <w:abstractNumId w:val="0"/>
    <w:lvlOverride w:ilvl="0">
      <w:startOverride w:val="1"/>
    </w:lvlOverride>
    <w:lvlOverride w:ilvl="1">
      <w:startOverride w:val="2"/>
    </w:lvlOverride>
  </w:num>
  <w:num w:numId="24">
    <w:abstractNumId w:val="14"/>
  </w:num>
  <w:num w:numId="25">
    <w:abstractNumId w:val="5"/>
  </w:num>
  <w:num w:numId="26">
    <w:abstractNumId w:val="13"/>
  </w:num>
  <w:num w:numId="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64E6"/>
    <w:rsid w:val="000C6F9D"/>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1E63"/>
    <w:rsid w:val="0025243C"/>
    <w:rsid w:val="002536A0"/>
    <w:rsid w:val="002541A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3B2B"/>
    <w:rsid w:val="003742AC"/>
    <w:rsid w:val="003744CE"/>
    <w:rsid w:val="00374F8B"/>
    <w:rsid w:val="00375719"/>
    <w:rsid w:val="0037642A"/>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383"/>
    <w:rsid w:val="004234DB"/>
    <w:rsid w:val="004234E7"/>
    <w:rsid w:val="00423A90"/>
    <w:rsid w:val="00423AC6"/>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C03"/>
    <w:rsid w:val="004E76F4"/>
    <w:rsid w:val="004E7873"/>
    <w:rsid w:val="004E7EB2"/>
    <w:rsid w:val="004F0445"/>
    <w:rsid w:val="004F04B2"/>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81"/>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F4E"/>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9A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F69"/>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oter" Target="footer1.xm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2.xm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http://www.3gpp.org/ftp/Meetings_3GPP_SYNC/RAN1/Inbox/tdocs/R1-1610522.zip" TargetMode="External"/><Relationship Id="rId23" Type="http://schemas.openxmlformats.org/officeDocument/2006/relationships/theme" Target="theme/theme1.xml"/><Relationship Id="rId10" Type="http://schemas.openxmlformats.org/officeDocument/2006/relationships/package" Target="embeddings/Microsoft_Visio_Drawing2.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A7FDCA-FD40-4924-9D86-08DA0AE8BA0A}"/>
</file>

<file path=customXml/itemProps2.xml><?xml version="1.0" encoding="utf-8"?>
<ds:datastoreItem xmlns:ds="http://schemas.openxmlformats.org/officeDocument/2006/customXml" ds:itemID="{0175E2DF-7472-413B-82AD-5DFD5CCA59C9}"/>
</file>

<file path=customXml/itemProps3.xml><?xml version="1.0" encoding="utf-8"?>
<ds:datastoreItem xmlns:ds="http://schemas.openxmlformats.org/officeDocument/2006/customXml" ds:itemID="{A6B4B842-ED2B-4B1A-874C-7304DC385130}"/>
</file>

<file path=docProps/app.xml><?xml version="1.0" encoding="utf-8"?>
<Properties xmlns="http://schemas.openxmlformats.org/officeDocument/2006/extended-properties" xmlns:vt="http://schemas.openxmlformats.org/officeDocument/2006/docPropsVTypes">
  <Template>Normal.dotm</Template>
  <TotalTime>0</TotalTime>
  <Pages>6</Pages>
  <Words>1947</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2016-11-05T04:38:00Z</dcterms:created>
  <dcterms:modified xsi:type="dcterms:W3CDTF">2016-11-05T04:41:00Z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